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78073">
      <w:pPr>
        <w:spacing w:line="540" w:lineRule="exact"/>
        <w:jc w:val="center"/>
        <w:rPr>
          <w:rFonts w:ascii="方正小标宋_GBK" w:eastAsia="方正小标宋_GBK" w:cs="Times New Roman" w:hAnsiTheme="minorEastAsia"/>
          <w:b/>
          <w:bCs/>
          <w:sz w:val="44"/>
          <w:szCs w:val="52"/>
        </w:rPr>
      </w:pPr>
      <w:r>
        <w:rPr>
          <w:rFonts w:hint="eastAsia" w:ascii="方正小标宋_GBK" w:eastAsia="方正小标宋_GBK" w:cs="Times New Roman" w:hAnsiTheme="minorEastAsia"/>
          <w:b/>
          <w:bCs/>
          <w:sz w:val="44"/>
          <w:szCs w:val="52"/>
        </w:rPr>
        <w:t>清华-远景“碳元奖”实施办法</w:t>
      </w:r>
      <w:r>
        <w:rPr>
          <w:rFonts w:ascii="方正小标宋_GBK" w:eastAsia="方正小标宋_GBK" w:cs="Times New Roman" w:hAnsiTheme="minorEastAsia"/>
          <w:b/>
          <w:bCs/>
          <w:sz w:val="44"/>
          <w:szCs w:val="52"/>
        </w:rPr>
        <w:br w:type="textWrapping"/>
      </w:r>
      <w:r>
        <w:rPr>
          <w:rFonts w:hint="eastAsia" w:ascii="方正小标宋_GBK" w:eastAsia="方正小标宋_GBK" w:cs="Times New Roman" w:hAnsiTheme="minorEastAsia"/>
          <w:b/>
          <w:bCs/>
          <w:sz w:val="44"/>
          <w:szCs w:val="52"/>
        </w:rPr>
        <w:t>（试行）</w:t>
      </w:r>
    </w:p>
    <w:p w14:paraId="1CA2F88D">
      <w:pPr>
        <w:spacing w:before="156" w:beforeLines="50" w:after="156" w:afterLines="50" w:line="540" w:lineRule="exact"/>
        <w:rPr>
          <w:rFonts w:ascii="黑体" w:hAnsi="黑体" w:eastAsia="黑体" w:cs="Times New Roman"/>
          <w:b/>
          <w:bCs/>
          <w:sz w:val="28"/>
          <w:szCs w:val="28"/>
        </w:rPr>
      </w:pPr>
    </w:p>
    <w:p w14:paraId="031EA39B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一、</w:t>
      </w:r>
      <w:r>
        <w:rPr>
          <w:rFonts w:ascii="黑体" w:hAnsi="黑体" w:eastAsia="黑体" w:cs="Times New Roman"/>
          <w:b/>
          <w:bCs/>
          <w:sz w:val="28"/>
          <w:szCs w:val="28"/>
        </w:rPr>
        <w:t>奖项介绍</w:t>
      </w:r>
    </w:p>
    <w:p w14:paraId="4A59490B">
      <w:pPr>
        <w:spacing w:line="540" w:lineRule="exact"/>
        <w:ind w:firstLine="42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为深入贯彻国家“双碳”战略目标，助推碳中和领域的颠覆性技术突破与示范变革，推动碳中和领域科技创新与人才培养，清华大学与远景科技集团联合设立全球前瞻性学术奖项——清华-远景“碳元奖”（以下简称“碳元奖”）。该奖项由远景科技集团提供公益捐赠，依托清华大学碳中和研究院顶尖专家库</w:t>
      </w:r>
      <w:r>
        <w:rPr>
          <w:rFonts w:hint="eastAsia" w:ascii="仿宋" w:hAnsi="仿宋" w:eastAsia="仿宋" w:cs="Times New Roman"/>
          <w:sz w:val="24"/>
        </w:rPr>
        <w:t>和“碳中和与能源智联”国际科学大计划平台，构</w:t>
      </w:r>
      <w:r>
        <w:rPr>
          <w:rFonts w:ascii="仿宋" w:hAnsi="仿宋" w:eastAsia="仿宋" w:cs="Times New Roman"/>
          <w:sz w:val="24"/>
        </w:rPr>
        <w:t>建多维度创新体系</w:t>
      </w:r>
      <w:r>
        <w:rPr>
          <w:rFonts w:hint="eastAsia" w:ascii="仿宋" w:hAnsi="仿宋" w:eastAsia="仿宋" w:cs="Times New Roman"/>
          <w:sz w:val="24"/>
        </w:rPr>
        <w:t>、打</w:t>
      </w:r>
      <w:r>
        <w:rPr>
          <w:rFonts w:ascii="仿宋" w:hAnsi="仿宋" w:eastAsia="仿宋" w:cs="Times New Roman"/>
          <w:sz w:val="24"/>
        </w:rPr>
        <w:t>造具有全球影响力的碳中和科技创新策源地</w:t>
      </w:r>
      <w:r>
        <w:rPr>
          <w:rFonts w:hint="eastAsia" w:ascii="仿宋" w:hAnsi="仿宋" w:eastAsia="仿宋" w:cs="Times New Roman"/>
          <w:sz w:val="24"/>
        </w:rPr>
        <w:t>和人才库</w:t>
      </w:r>
      <w:r>
        <w:rPr>
          <w:rFonts w:ascii="仿宋" w:hAnsi="仿宋" w:eastAsia="仿宋" w:cs="Times New Roman"/>
          <w:sz w:val="24"/>
        </w:rPr>
        <w:t>。</w:t>
      </w:r>
    </w:p>
    <w:p w14:paraId="20E61A4B">
      <w:pPr>
        <w:spacing w:line="540" w:lineRule="exact"/>
        <w:ind w:firstLine="420"/>
        <w:rPr>
          <w:rFonts w:ascii="Times New Roman" w:hAnsi="Times New Roman" w:cs="Times New Roman"/>
          <w:szCs w:val="21"/>
        </w:rPr>
      </w:pPr>
      <w:r>
        <w:rPr>
          <w:rFonts w:ascii="仿宋" w:hAnsi="仿宋" w:eastAsia="仿宋" w:cs="Times New Roman"/>
          <w:sz w:val="24"/>
        </w:rPr>
        <w:t>“碳元奖”面向清华大学在校研究生和博士后，</w:t>
      </w:r>
      <w:r>
        <w:rPr>
          <w:rFonts w:hint="eastAsia" w:ascii="仿宋" w:hAnsi="仿宋" w:eastAsia="仿宋" w:cs="Times New Roman"/>
          <w:sz w:val="24"/>
        </w:rPr>
        <w:t>鼓</w:t>
      </w:r>
      <w:r>
        <w:rPr>
          <w:rFonts w:ascii="仿宋" w:hAnsi="仿宋" w:eastAsia="仿宋" w:cs="Times New Roman"/>
          <w:sz w:val="24"/>
        </w:rPr>
        <w:t>励青年学者立足学术前沿、服务国家战略，开展具有创新性、交叉性和示范效应的科研探索，助力实现高水平科技自立自强。该奖项的设立将鼓励面向碳中和领域的</w:t>
      </w:r>
      <w:r>
        <w:rPr>
          <w:rFonts w:hint="eastAsia" w:ascii="仿宋" w:hAnsi="仿宋" w:eastAsia="仿宋" w:cs="Times New Roman"/>
          <w:sz w:val="24"/>
        </w:rPr>
        <w:t>个人原</w:t>
      </w:r>
      <w:r>
        <w:rPr>
          <w:rFonts w:ascii="仿宋" w:hAnsi="仿宋" w:eastAsia="仿宋" w:cs="Times New Roman"/>
          <w:sz w:val="24"/>
        </w:rPr>
        <w:t>创贡献，助推培养国家亟需的高层次、复合型青年创新人才，从而为构建人类可持续</w:t>
      </w:r>
      <w:r>
        <w:rPr>
          <w:rFonts w:hint="eastAsia" w:ascii="仿宋" w:hAnsi="仿宋" w:eastAsia="仿宋" w:cs="Times New Roman"/>
          <w:sz w:val="24"/>
        </w:rPr>
        <w:t>未</w:t>
      </w:r>
      <w:r>
        <w:rPr>
          <w:rFonts w:ascii="仿宋" w:hAnsi="仿宋" w:eastAsia="仿宋" w:cs="Times New Roman"/>
          <w:sz w:val="24"/>
        </w:rPr>
        <w:t>来贡献突破性的解决方案。</w:t>
      </w:r>
    </w:p>
    <w:p w14:paraId="228E03B5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二、赛事</w:t>
      </w:r>
      <w:r>
        <w:rPr>
          <w:rFonts w:ascii="黑体" w:hAnsi="黑体" w:eastAsia="黑体" w:cs="Times New Roman"/>
          <w:b/>
          <w:bCs/>
          <w:sz w:val="28"/>
          <w:szCs w:val="28"/>
        </w:rPr>
        <w:t>组织</w:t>
      </w:r>
    </w:p>
    <w:p w14:paraId="29DDA20C">
      <w:pPr>
        <w:spacing w:line="540" w:lineRule="exact"/>
        <w:ind w:firstLine="482" w:firstLineChars="200"/>
        <w:jc w:val="lef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主办单位：</w:t>
      </w:r>
      <w:r>
        <w:rPr>
          <w:rFonts w:ascii="仿宋" w:hAnsi="仿宋" w:eastAsia="仿宋" w:cs="Times New Roman"/>
          <w:sz w:val="24"/>
        </w:rPr>
        <w:t>清华大学、远景科技集团</w:t>
      </w:r>
    </w:p>
    <w:p w14:paraId="7C67083E">
      <w:pPr>
        <w:spacing w:line="540" w:lineRule="exact"/>
        <w:ind w:firstLine="482" w:firstLineChars="200"/>
        <w:jc w:val="lef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承办单位：</w:t>
      </w:r>
      <w:r>
        <w:rPr>
          <w:rFonts w:ascii="仿宋" w:hAnsi="仿宋" w:eastAsia="仿宋" w:cs="Times New Roman"/>
          <w:sz w:val="24"/>
        </w:rPr>
        <w:t>清华大学碳中和研究院</w:t>
      </w:r>
      <w:r>
        <w:rPr>
          <w:rFonts w:hint="eastAsia" w:ascii="仿宋" w:hAnsi="仿宋" w:eastAsia="仿宋" w:cs="Times New Roman"/>
          <w:sz w:val="24"/>
        </w:rPr>
        <w:t>、清华大学国际交流中心</w:t>
      </w:r>
      <w:bookmarkStart w:id="0" w:name="_GoBack"/>
      <w:bookmarkEnd w:id="0"/>
    </w:p>
    <w:p w14:paraId="57A1DD55">
      <w:pPr>
        <w:spacing w:line="540" w:lineRule="exact"/>
        <w:ind w:firstLine="482" w:firstLineChars="20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协办单位：</w:t>
      </w:r>
      <w:r>
        <w:rPr>
          <w:rFonts w:hint="eastAsia" w:ascii="仿宋" w:hAnsi="仿宋" w:eastAsia="仿宋" w:cs="Times New Roman"/>
          <w:sz w:val="24"/>
        </w:rPr>
        <w:t>清华大学远景印尼可持续发展中心、清华大学远景巴西可持续发展中心</w:t>
      </w:r>
    </w:p>
    <w:p w14:paraId="562FF638">
      <w:pPr>
        <w:spacing w:line="540" w:lineRule="exact"/>
        <w:ind w:firstLine="482" w:firstLineChars="200"/>
        <w:jc w:val="left"/>
        <w:rPr>
          <w:rFonts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“碳元奖”发起人团</w:t>
      </w:r>
      <w:r>
        <w:rPr>
          <w:rFonts w:ascii="仿宋" w:hAnsi="仿宋" w:eastAsia="仿宋" w:cs="Times New Roman"/>
          <w:b/>
          <w:bCs/>
          <w:sz w:val="24"/>
        </w:rPr>
        <w:t>：</w:t>
      </w:r>
    </w:p>
    <w:tbl>
      <w:tblPr>
        <w:tblStyle w:val="10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527"/>
      </w:tblGrid>
      <w:tr w14:paraId="749B6BFC">
        <w:tc>
          <w:tcPr>
            <w:tcW w:w="1387" w:type="dxa"/>
          </w:tcPr>
          <w:p w14:paraId="782E06BF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贺克斌</w:t>
            </w:r>
          </w:p>
        </w:tc>
        <w:tc>
          <w:tcPr>
            <w:tcW w:w="6527" w:type="dxa"/>
          </w:tcPr>
          <w:p w14:paraId="18C5BAC9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中国工程院院士、清华大学碳中和研究院院长、环境学院教授</w:t>
            </w:r>
          </w:p>
        </w:tc>
      </w:tr>
      <w:tr w14:paraId="1635BE5C">
        <w:tc>
          <w:tcPr>
            <w:tcW w:w="1387" w:type="dxa"/>
          </w:tcPr>
          <w:p w14:paraId="098AA0E1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江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亿</w:t>
            </w:r>
          </w:p>
        </w:tc>
        <w:tc>
          <w:tcPr>
            <w:tcW w:w="6527" w:type="dxa"/>
          </w:tcPr>
          <w:p w14:paraId="264A94A8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中国工程院院士、清华大学建筑学院教授</w:t>
            </w:r>
          </w:p>
        </w:tc>
      </w:tr>
      <w:tr w14:paraId="4EBD1818">
        <w:tc>
          <w:tcPr>
            <w:tcW w:w="1387" w:type="dxa"/>
          </w:tcPr>
          <w:p w14:paraId="26D49448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欧阳明高</w:t>
            </w:r>
          </w:p>
        </w:tc>
        <w:tc>
          <w:tcPr>
            <w:tcW w:w="6527" w:type="dxa"/>
          </w:tcPr>
          <w:p w14:paraId="44496539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中国科学院院士、清华大学车辆与运载学院教授</w:t>
            </w:r>
          </w:p>
        </w:tc>
      </w:tr>
      <w:tr w14:paraId="5B3AAE3A">
        <w:tc>
          <w:tcPr>
            <w:tcW w:w="1387" w:type="dxa"/>
          </w:tcPr>
          <w:p w14:paraId="47522922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姜培学</w:t>
            </w:r>
          </w:p>
        </w:tc>
        <w:tc>
          <w:tcPr>
            <w:tcW w:w="6527" w:type="dxa"/>
          </w:tcPr>
          <w:p w14:paraId="3600E414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中国科学院院士、清华大学副校长、能源与动力工程系教授</w:t>
            </w:r>
          </w:p>
        </w:tc>
      </w:tr>
      <w:tr w14:paraId="1849682C">
        <w:tc>
          <w:tcPr>
            <w:tcW w:w="1387" w:type="dxa"/>
          </w:tcPr>
          <w:p w14:paraId="753AD48A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李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政</w:t>
            </w:r>
          </w:p>
        </w:tc>
        <w:tc>
          <w:tcPr>
            <w:tcW w:w="6527" w:type="dxa"/>
          </w:tcPr>
          <w:p w14:paraId="6CF89A6E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清华大学气候变化与可持续发展研究院院长、能源与动力工程系教授</w:t>
            </w:r>
          </w:p>
        </w:tc>
      </w:tr>
      <w:tr w14:paraId="58B88C17">
        <w:tc>
          <w:tcPr>
            <w:tcW w:w="1387" w:type="dxa"/>
          </w:tcPr>
          <w:p w14:paraId="532E1D5A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康重庆</w:t>
            </w:r>
          </w:p>
        </w:tc>
        <w:tc>
          <w:tcPr>
            <w:tcW w:w="6527" w:type="dxa"/>
          </w:tcPr>
          <w:p w14:paraId="2B28D678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清华大学电机工程与应用电子技术系系主任、教授</w:t>
            </w:r>
          </w:p>
        </w:tc>
      </w:tr>
      <w:tr w14:paraId="3A3D20E6">
        <w:tc>
          <w:tcPr>
            <w:tcW w:w="1387" w:type="dxa"/>
          </w:tcPr>
          <w:p w14:paraId="3AE327AC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张希良</w:t>
            </w:r>
          </w:p>
        </w:tc>
        <w:tc>
          <w:tcPr>
            <w:tcW w:w="6527" w:type="dxa"/>
          </w:tcPr>
          <w:p w14:paraId="3775B8BE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清华大学核能与新能源技术研究院教授</w:t>
            </w:r>
          </w:p>
        </w:tc>
      </w:tr>
      <w:tr w14:paraId="3C5D0EF3">
        <w:tc>
          <w:tcPr>
            <w:tcW w:w="1387" w:type="dxa"/>
          </w:tcPr>
          <w:p w14:paraId="5623E328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魏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飞</w:t>
            </w:r>
          </w:p>
        </w:tc>
        <w:tc>
          <w:tcPr>
            <w:tcW w:w="6527" w:type="dxa"/>
          </w:tcPr>
          <w:p w14:paraId="39CE59F0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清华大学化学工程系学术委员会主任、教授</w:t>
            </w:r>
          </w:p>
        </w:tc>
      </w:tr>
    </w:tbl>
    <w:p w14:paraId="7D6EE5EA">
      <w:pPr>
        <w:spacing w:line="540" w:lineRule="exact"/>
        <w:ind w:firstLine="482" w:firstLineChars="200"/>
        <w:jc w:val="left"/>
        <w:rPr>
          <w:rFonts w:ascii="仿宋" w:hAnsi="仿宋" w:eastAsia="仿宋" w:cs="Times New Roman"/>
          <w:b/>
          <w:bCs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执行</w:t>
      </w:r>
      <w:r>
        <w:rPr>
          <w:rFonts w:hint="eastAsia" w:ascii="仿宋" w:hAnsi="仿宋" w:eastAsia="仿宋" w:cs="Times New Roman"/>
          <w:b/>
          <w:bCs/>
          <w:sz w:val="24"/>
        </w:rPr>
        <w:t>委员</w:t>
      </w:r>
      <w:r>
        <w:rPr>
          <w:rFonts w:ascii="仿宋" w:hAnsi="仿宋" w:eastAsia="仿宋" w:cs="Times New Roman"/>
          <w:b/>
          <w:bCs/>
          <w:sz w:val="24"/>
        </w:rPr>
        <w:t>：</w:t>
      </w:r>
    </w:p>
    <w:tbl>
      <w:tblPr>
        <w:tblStyle w:val="10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527"/>
      </w:tblGrid>
      <w:tr w14:paraId="43F56FFF">
        <w:tc>
          <w:tcPr>
            <w:tcW w:w="1387" w:type="dxa"/>
          </w:tcPr>
          <w:p w14:paraId="34F617EA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关大博</w:t>
            </w:r>
          </w:p>
          <w:p w14:paraId="42BB8B26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张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艺</w:t>
            </w:r>
          </w:p>
        </w:tc>
        <w:tc>
          <w:tcPr>
            <w:tcW w:w="6527" w:type="dxa"/>
          </w:tcPr>
          <w:p w14:paraId="340C5427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清华大学碳中和研究院副院长、</w:t>
            </w:r>
            <w:r>
              <w:rPr>
                <w:rFonts w:hint="eastAsia" w:ascii="仿宋" w:hAnsi="仿宋" w:eastAsia="仿宋" w:cs="Times New Roman"/>
                <w:sz w:val="24"/>
              </w:rPr>
              <w:t>地球系统科学系教</w:t>
            </w:r>
            <w:r>
              <w:rPr>
                <w:rFonts w:ascii="仿宋" w:hAnsi="仿宋" w:eastAsia="仿宋" w:cs="Times New Roman"/>
                <w:sz w:val="24"/>
              </w:rPr>
              <w:t>授</w:t>
            </w:r>
          </w:p>
          <w:p w14:paraId="2FD61BCE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清华大学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国际交流中心副主任  </w:t>
            </w:r>
          </w:p>
        </w:tc>
      </w:tr>
    </w:tbl>
    <w:p w14:paraId="352F860D">
      <w:pPr>
        <w:spacing w:line="540" w:lineRule="exact"/>
        <w:ind w:firstLine="482" w:firstLineChars="200"/>
        <w:jc w:val="left"/>
        <w:rPr>
          <w:rFonts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监察委员</w:t>
      </w:r>
      <w:r>
        <w:rPr>
          <w:rFonts w:ascii="仿宋" w:hAnsi="仿宋" w:eastAsia="仿宋" w:cs="Times New Roman"/>
          <w:b/>
          <w:bCs/>
          <w:sz w:val="24"/>
        </w:rPr>
        <w:t>：</w:t>
      </w:r>
    </w:p>
    <w:tbl>
      <w:tblPr>
        <w:tblStyle w:val="10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6526"/>
      </w:tblGrid>
      <w:tr w14:paraId="14991029">
        <w:tc>
          <w:tcPr>
            <w:tcW w:w="1388" w:type="dxa"/>
          </w:tcPr>
          <w:p w14:paraId="54AA2449">
            <w:pPr>
              <w:spacing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黄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峰</w:t>
            </w:r>
          </w:p>
        </w:tc>
        <w:tc>
          <w:tcPr>
            <w:tcW w:w="6526" w:type="dxa"/>
          </w:tcPr>
          <w:p w14:paraId="11E18ADE">
            <w:pPr>
              <w:widowControl/>
              <w:spacing w:line="54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清华大学</w:t>
            </w:r>
            <w:r>
              <w:rPr>
                <w:rFonts w:ascii="仿宋" w:hAnsi="仿宋" w:eastAsia="仿宋" w:cs="Times New Roman"/>
                <w:color w:val="333333"/>
                <w:sz w:val="24"/>
                <w:shd w:val="clear" w:color="auto" w:fill="FFFFFF"/>
              </w:rPr>
              <w:t>团委副书记</w:t>
            </w:r>
          </w:p>
        </w:tc>
      </w:tr>
    </w:tbl>
    <w:p w14:paraId="2CF43B32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三、</w:t>
      </w:r>
      <w:r>
        <w:rPr>
          <w:rFonts w:ascii="黑体" w:hAnsi="黑体" w:eastAsia="黑体" w:cs="Times New Roman"/>
          <w:b/>
          <w:bCs/>
          <w:sz w:val="28"/>
          <w:szCs w:val="28"/>
        </w:rPr>
        <w:t>赛事划分</w:t>
      </w:r>
    </w:p>
    <w:p w14:paraId="76B90871">
      <w:pPr>
        <w:spacing w:line="540" w:lineRule="exact"/>
        <w:ind w:firstLine="42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“碳元奖”评选赛事将划分为三个赛道：基础科研赛道、产业创新赛道、政策研究赛道。报名参赛项目提交报名表时需选定项目所属具体赛道。各赛道具体内容如下：</w:t>
      </w:r>
    </w:p>
    <w:p w14:paraId="654FC505">
      <w:pPr>
        <w:spacing w:line="540" w:lineRule="exact"/>
        <w:ind w:firstLine="42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（1）基础科研赛道：聚焦碳中和领域基础科学问题、原理突破、技术创新研究等，突出原创性、前沿性和学术贡献。</w:t>
      </w:r>
    </w:p>
    <w:p w14:paraId="0D2FD976">
      <w:pPr>
        <w:spacing w:line="540" w:lineRule="exact"/>
        <w:ind w:firstLine="42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（2）产业创新赛道：聚焦碳中和领域创新技术、产品、服务的工程化、产业化路径探索，突出可落地性、经济可行性。</w:t>
      </w:r>
    </w:p>
    <w:p w14:paraId="10910E35">
      <w:pPr>
        <w:spacing w:line="540" w:lineRule="exact"/>
        <w:ind w:firstLine="42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（3）政策研究赛道：聚焦</w:t>
      </w:r>
      <w:r>
        <w:rPr>
          <w:rFonts w:hint="eastAsia" w:ascii="仿宋" w:hAnsi="仿宋" w:eastAsia="仿宋" w:cs="Times New Roman"/>
          <w:sz w:val="24"/>
        </w:rPr>
        <w:t>全球</w:t>
      </w:r>
      <w:r>
        <w:rPr>
          <w:rFonts w:ascii="仿宋" w:hAnsi="仿宋" w:eastAsia="仿宋" w:cs="Times New Roman"/>
          <w:sz w:val="24"/>
        </w:rPr>
        <w:t>碳中和相关政策、机制</w:t>
      </w:r>
      <w:r>
        <w:rPr>
          <w:rFonts w:hint="eastAsia" w:ascii="仿宋" w:hAnsi="仿宋" w:eastAsia="仿宋" w:cs="Times New Roman"/>
          <w:sz w:val="24"/>
        </w:rPr>
        <w:t>社会影响力、</w:t>
      </w:r>
      <w:r>
        <w:rPr>
          <w:rFonts w:ascii="仿宋" w:hAnsi="仿宋" w:eastAsia="仿宋" w:cs="Times New Roman"/>
          <w:sz w:val="24"/>
        </w:rPr>
        <w:t>制度设计创新，突出前瞻性、可操作性和</w:t>
      </w:r>
      <w:r>
        <w:rPr>
          <w:rFonts w:hint="eastAsia" w:ascii="仿宋" w:hAnsi="仿宋" w:eastAsia="仿宋" w:cs="Times New Roman"/>
          <w:sz w:val="24"/>
        </w:rPr>
        <w:t>普适性。</w:t>
      </w:r>
    </w:p>
    <w:p w14:paraId="40033DC5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四、</w:t>
      </w:r>
      <w:r>
        <w:rPr>
          <w:rFonts w:ascii="黑体" w:hAnsi="黑体" w:eastAsia="黑体" w:cs="Times New Roman"/>
          <w:b/>
          <w:bCs/>
          <w:sz w:val="28"/>
          <w:szCs w:val="28"/>
        </w:rPr>
        <w:t>赛事奖励</w:t>
      </w:r>
    </w:p>
    <w:p w14:paraId="7175A710">
      <w:pPr>
        <w:spacing w:line="540" w:lineRule="exact"/>
        <w:ind w:firstLine="482" w:firstLineChars="200"/>
        <w:rPr>
          <w:rFonts w:ascii="仿宋" w:hAnsi="仿宋" w:eastAsia="仿宋" w:cs="Times New Roman"/>
          <w:b/>
          <w:bCs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t>1</w:t>
      </w:r>
      <w:r>
        <w:rPr>
          <w:rFonts w:hint="eastAsia" w:ascii="仿宋" w:hAnsi="仿宋" w:eastAsia="仿宋" w:cs="Times New Roman"/>
          <w:b/>
          <w:bCs/>
          <w:sz w:val="24"/>
        </w:rPr>
        <w:t>.</w:t>
      </w:r>
      <w:r>
        <w:rPr>
          <w:rFonts w:ascii="仿宋" w:hAnsi="仿宋" w:eastAsia="仿宋" w:cs="Times New Roman"/>
          <w:b/>
          <w:bCs/>
          <w:sz w:val="24"/>
        </w:rPr>
        <w:t xml:space="preserve"> 赛事奖金</w:t>
      </w:r>
    </w:p>
    <w:tbl>
      <w:tblPr>
        <w:tblStyle w:val="16"/>
        <w:tblW w:w="4998" w:type="pct"/>
        <w:tblInd w:w="0" w:type="dxa"/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473"/>
        <w:gridCol w:w="2181"/>
        <w:gridCol w:w="2001"/>
        <w:gridCol w:w="1864"/>
      </w:tblGrid>
      <w:tr w14:paraId="0AF48083">
        <w:trPr>
          <w:tblHeader/>
        </w:trPr>
        <w:tc>
          <w:tcPr>
            <w:tcW w:w="145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5C22BE0B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赛道类别</w:t>
            </w:r>
          </w:p>
        </w:tc>
        <w:tc>
          <w:tcPr>
            <w:tcW w:w="128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028B64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奖项名称</w:t>
            </w:r>
          </w:p>
        </w:tc>
        <w:tc>
          <w:tcPr>
            <w:tcW w:w="117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9A04B3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单项奖金</w:t>
            </w:r>
          </w:p>
        </w:tc>
        <w:tc>
          <w:tcPr>
            <w:tcW w:w="109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D25837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数量</w:t>
            </w:r>
          </w:p>
        </w:tc>
      </w:tr>
      <w:tr w14:paraId="1B24B958">
        <w:tc>
          <w:tcPr>
            <w:tcW w:w="1451" w:type="pct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A27B6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基础科研赛道</w:t>
            </w:r>
          </w:p>
        </w:tc>
        <w:tc>
          <w:tcPr>
            <w:tcW w:w="128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FC1FD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碳元先锋奖</w:t>
            </w:r>
          </w:p>
        </w:tc>
        <w:tc>
          <w:tcPr>
            <w:tcW w:w="117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007F2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6万元</w:t>
            </w:r>
          </w:p>
        </w:tc>
        <w:tc>
          <w:tcPr>
            <w:tcW w:w="109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7B1C6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5项</w:t>
            </w:r>
          </w:p>
        </w:tc>
      </w:tr>
      <w:tr w14:paraId="2883170C">
        <w:tc>
          <w:tcPr>
            <w:tcW w:w="145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76DD8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90681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碳元新星奖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B4BD5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2万元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71381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</w:rPr>
              <w:t>0</w:t>
            </w:r>
            <w:r>
              <w:rPr>
                <w:rFonts w:ascii="仿宋" w:hAnsi="仿宋" w:eastAsia="仿宋" w:cs="Times New Roman"/>
                <w:sz w:val="24"/>
              </w:rPr>
              <w:t>项</w:t>
            </w:r>
          </w:p>
        </w:tc>
      </w:tr>
      <w:tr w14:paraId="40494957"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E93B2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产业创新赛道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0E925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碳元致远奖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0D26C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5万元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4582D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  <w:r>
              <w:rPr>
                <w:rFonts w:ascii="仿宋" w:hAnsi="仿宋" w:eastAsia="仿宋" w:cs="Times New Roman"/>
                <w:sz w:val="24"/>
              </w:rPr>
              <w:t>项</w:t>
            </w:r>
          </w:p>
        </w:tc>
      </w:tr>
      <w:tr w14:paraId="366A8DF4">
        <w:tc>
          <w:tcPr>
            <w:tcW w:w="145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2A8E10B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政策研究赛道</w:t>
            </w:r>
          </w:p>
        </w:tc>
        <w:tc>
          <w:tcPr>
            <w:tcW w:w="128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5B14B84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碳元经纬奖</w:t>
            </w:r>
          </w:p>
        </w:tc>
        <w:tc>
          <w:tcPr>
            <w:tcW w:w="117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481CD1A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5万元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2B8F886">
            <w:pPr>
              <w:pStyle w:val="15"/>
              <w:spacing w:before="0" w:after="0" w:line="5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1项</w:t>
            </w:r>
          </w:p>
        </w:tc>
      </w:tr>
    </w:tbl>
    <w:p w14:paraId="77AB74E4">
      <w:pPr>
        <w:spacing w:line="540" w:lineRule="exact"/>
        <w:ind w:firstLine="482" w:firstLineChars="200"/>
        <w:rPr>
          <w:rFonts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2</w:t>
      </w:r>
      <w:r>
        <w:rPr>
          <w:rFonts w:ascii="仿宋" w:hAnsi="仿宋" w:eastAsia="仿宋" w:cs="Times New Roman"/>
          <w:b/>
          <w:bCs/>
          <w:sz w:val="24"/>
        </w:rPr>
        <w:t>. 发展支撑</w:t>
      </w:r>
    </w:p>
    <w:p w14:paraId="293BAD41">
      <w:pPr>
        <w:spacing w:line="5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  <w:szCs w:val="32"/>
        </w:rPr>
        <w:t>“碳元奖”致力于为参赛者搭建长期发展平台，融入碳中和领域创新社群，持续助力其拓展视野、提升能力，在科研、产业和政策等领域不断取得进步。</w:t>
      </w:r>
    </w:p>
    <w:p w14:paraId="0D42B6AC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五、</w:t>
      </w:r>
      <w:r>
        <w:rPr>
          <w:rFonts w:ascii="黑体" w:hAnsi="黑体" w:eastAsia="黑体" w:cs="Times New Roman"/>
          <w:b/>
          <w:bCs/>
          <w:sz w:val="28"/>
          <w:szCs w:val="28"/>
        </w:rPr>
        <w:t>评选流程</w:t>
      </w:r>
    </w:p>
    <w:p w14:paraId="7C59293D">
      <w:pPr>
        <w:spacing w:line="540" w:lineRule="exac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ab/>
      </w:r>
      <w:r>
        <w:rPr>
          <w:rFonts w:hint="eastAsia" w:ascii="仿宋" w:hAnsi="仿宋" w:eastAsia="仿宋" w:cs="Times New Roman"/>
          <w:sz w:val="24"/>
        </w:rPr>
        <w:t>“碳元奖”一般每年评选一次，</w:t>
      </w:r>
      <w:r>
        <w:rPr>
          <w:rFonts w:ascii="仿宋" w:hAnsi="仿宋" w:eastAsia="仿宋" w:cs="Times New Roman"/>
          <w:sz w:val="24"/>
        </w:rPr>
        <w:t>评选过程严格遵循“自主报名-</w:t>
      </w:r>
      <w:r>
        <w:rPr>
          <w:rFonts w:hint="eastAsia" w:ascii="仿宋" w:hAnsi="仿宋" w:eastAsia="仿宋" w:cs="Times New Roman"/>
          <w:sz w:val="24"/>
        </w:rPr>
        <w:t>专家初评-</w:t>
      </w:r>
      <w:r>
        <w:rPr>
          <w:rFonts w:ascii="仿宋" w:hAnsi="仿宋" w:eastAsia="仿宋" w:cs="Times New Roman"/>
          <w:sz w:val="24"/>
        </w:rPr>
        <w:t>候选人答辩-</w:t>
      </w:r>
      <w:r>
        <w:rPr>
          <w:rFonts w:hint="eastAsia" w:ascii="仿宋" w:hAnsi="仿宋" w:eastAsia="仿宋" w:cs="Times New Roman"/>
          <w:sz w:val="24"/>
        </w:rPr>
        <w:t>碳中和院院</w:t>
      </w:r>
      <w:r>
        <w:rPr>
          <w:rFonts w:ascii="仿宋" w:hAnsi="仿宋" w:eastAsia="仿宋" w:cs="Times New Roman"/>
          <w:sz w:val="24"/>
        </w:rPr>
        <w:t>务会议审议”流程</w:t>
      </w:r>
      <w:r>
        <w:rPr>
          <w:rFonts w:hint="eastAsia" w:ascii="仿宋" w:hAnsi="仿宋" w:eastAsia="仿宋" w:cs="Times New Roman"/>
          <w:sz w:val="24"/>
        </w:rPr>
        <w:t>。评选</w:t>
      </w:r>
      <w:r>
        <w:rPr>
          <w:rFonts w:ascii="仿宋" w:hAnsi="仿宋" w:eastAsia="仿宋" w:cs="Times New Roman"/>
          <w:sz w:val="24"/>
        </w:rPr>
        <w:t>具体时间以当年清华大学碳中和研究院官网公告为准</w:t>
      </w:r>
      <w:r>
        <w:rPr>
          <w:rFonts w:hint="eastAsia" w:ascii="仿宋" w:hAnsi="仿宋" w:eastAsia="仿宋" w:cs="Times New Roman"/>
          <w:sz w:val="24"/>
        </w:rPr>
        <w:t>。</w:t>
      </w:r>
    </w:p>
    <w:p w14:paraId="54879E5B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六、</w:t>
      </w:r>
      <w:r>
        <w:rPr>
          <w:rFonts w:ascii="黑体" w:hAnsi="黑体" w:eastAsia="黑体" w:cs="Times New Roman"/>
          <w:b/>
          <w:bCs/>
          <w:sz w:val="28"/>
          <w:szCs w:val="28"/>
        </w:rPr>
        <w:t>评审标准</w:t>
      </w:r>
    </w:p>
    <w:p w14:paraId="537BDA9B">
      <w:pPr>
        <w:spacing w:line="54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“碳元奖”评选坚持公平、公正、公开原则，</w:t>
      </w:r>
      <w:r>
        <w:rPr>
          <w:rFonts w:hint="eastAsia" w:ascii="仿宋" w:hAnsi="仿宋" w:eastAsia="仿宋"/>
          <w:sz w:val="24"/>
          <w:szCs w:val="32"/>
        </w:rPr>
        <w:t>重点</w:t>
      </w:r>
      <w:r>
        <w:rPr>
          <w:rFonts w:ascii="仿宋" w:hAnsi="仿宋" w:eastAsia="仿宋"/>
          <w:sz w:val="24"/>
          <w:szCs w:val="32"/>
        </w:rPr>
        <w:t>考察申报人的个人原创性贡献和主导作用</w:t>
      </w:r>
      <w:r>
        <w:rPr>
          <w:rFonts w:hint="eastAsia" w:ascii="仿宋" w:hAnsi="仿宋" w:eastAsia="仿宋"/>
          <w:sz w:val="24"/>
          <w:szCs w:val="32"/>
        </w:rPr>
        <w:t>，</w:t>
      </w:r>
      <w:r>
        <w:rPr>
          <w:rFonts w:hint="eastAsia" w:ascii="仿宋" w:hAnsi="仿宋" w:eastAsia="仿宋" w:cs="Times New Roman"/>
          <w:sz w:val="24"/>
        </w:rPr>
        <w:t>围绕</w:t>
      </w:r>
      <w:r>
        <w:rPr>
          <w:rFonts w:ascii="仿宋" w:hAnsi="仿宋" w:eastAsia="仿宋" w:cs="Times New Roman"/>
          <w:sz w:val="24"/>
        </w:rPr>
        <w:t>项目的创新性、可行性、交叉性、影响力</w:t>
      </w:r>
      <w:r>
        <w:rPr>
          <w:rFonts w:hint="eastAsia" w:ascii="仿宋" w:hAnsi="仿宋" w:eastAsia="仿宋" w:cs="Times New Roman"/>
          <w:sz w:val="24"/>
        </w:rPr>
        <w:t>、</w:t>
      </w:r>
      <w:r>
        <w:rPr>
          <w:rFonts w:ascii="仿宋" w:hAnsi="仿宋" w:eastAsia="仿宋" w:cs="Times New Roman"/>
          <w:sz w:val="24"/>
        </w:rPr>
        <w:t>表达</w:t>
      </w:r>
      <w:r>
        <w:rPr>
          <w:rFonts w:hint="eastAsia" w:ascii="仿宋" w:hAnsi="仿宋" w:eastAsia="仿宋" w:cs="Times New Roman"/>
          <w:sz w:val="24"/>
        </w:rPr>
        <w:t>与</w:t>
      </w:r>
      <w:r>
        <w:rPr>
          <w:rFonts w:ascii="仿宋" w:hAnsi="仿宋" w:eastAsia="仿宋" w:cs="Times New Roman"/>
          <w:sz w:val="24"/>
        </w:rPr>
        <w:t>展示五个维度进行综合评审</w:t>
      </w:r>
      <w:r>
        <w:rPr>
          <w:rFonts w:ascii="仿宋" w:hAnsi="仿宋" w:eastAsia="仿宋"/>
          <w:sz w:val="24"/>
          <w:szCs w:val="32"/>
        </w:rPr>
        <w:t>。</w:t>
      </w:r>
    </w:p>
    <w:p w14:paraId="7ED9596D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七、</w:t>
      </w:r>
      <w:r>
        <w:rPr>
          <w:rFonts w:ascii="黑体" w:hAnsi="黑体" w:eastAsia="黑体" w:cs="Times New Roman"/>
          <w:b/>
          <w:bCs/>
          <w:sz w:val="28"/>
          <w:szCs w:val="28"/>
        </w:rPr>
        <w:t>申报要求</w:t>
      </w:r>
    </w:p>
    <w:p w14:paraId="3E384A3C">
      <w:pPr>
        <w:spacing w:line="540" w:lineRule="exac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ab/>
      </w:r>
      <w:r>
        <w:rPr>
          <w:rFonts w:ascii="仿宋" w:hAnsi="仿宋" w:eastAsia="仿宋" w:cs="Times New Roman"/>
          <w:sz w:val="24"/>
        </w:rPr>
        <w:t>（1）申报对象为清华大学全日制研究生和</w:t>
      </w:r>
      <w:r>
        <w:rPr>
          <w:rFonts w:hint="eastAsia" w:ascii="仿宋" w:hAnsi="仿宋" w:eastAsia="仿宋" w:cs="Times New Roman"/>
          <w:sz w:val="24"/>
        </w:rPr>
        <w:t>全日制在站博</w:t>
      </w:r>
      <w:r>
        <w:rPr>
          <w:rFonts w:ascii="仿宋" w:hAnsi="仿宋" w:eastAsia="仿宋" w:cs="Times New Roman"/>
          <w:sz w:val="24"/>
        </w:rPr>
        <w:t>士后</w:t>
      </w:r>
      <w:r>
        <w:rPr>
          <w:rFonts w:hint="eastAsia" w:ascii="仿宋" w:hAnsi="仿宋" w:eastAsia="仿宋" w:cs="Times New Roman"/>
          <w:sz w:val="24"/>
        </w:rPr>
        <w:t>。</w:t>
      </w:r>
    </w:p>
    <w:p w14:paraId="38818B9D">
      <w:pPr>
        <w:spacing w:line="540" w:lineRule="exac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ab/>
      </w:r>
      <w:r>
        <w:rPr>
          <w:rFonts w:hint="eastAsia" w:ascii="仿宋" w:hAnsi="仿宋" w:eastAsia="仿宋" w:cs="Times New Roman"/>
          <w:sz w:val="24"/>
        </w:rPr>
        <w:t>（2）项目须</w:t>
      </w:r>
      <w:r>
        <w:rPr>
          <w:rFonts w:ascii="仿宋" w:hAnsi="仿宋" w:eastAsia="仿宋" w:cs="Times New Roman"/>
          <w:sz w:val="24"/>
        </w:rPr>
        <w:t>以个人名义参评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  <w:szCs w:val="32"/>
        </w:rPr>
        <w:t>申报人应为项目的第一完成人，个人贡献不得低于50%，并能够清晰说明其主导性贡献。项目可为团队合作成果，其他成员可在材料中列示说明，奖项仅授予申报人个人。</w:t>
      </w:r>
    </w:p>
    <w:p w14:paraId="3C3C0573">
      <w:pPr>
        <w:spacing w:line="540" w:lineRule="exac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ab/>
      </w:r>
      <w:r>
        <w:rPr>
          <w:rFonts w:ascii="仿宋" w:hAnsi="仿宋" w:eastAsia="仿宋" w:cs="Times New Roman"/>
          <w:sz w:val="24"/>
        </w:rPr>
        <w:t>（</w:t>
      </w:r>
      <w:r>
        <w:rPr>
          <w:rFonts w:hint="eastAsia" w:ascii="仿宋" w:hAnsi="仿宋" w:eastAsia="仿宋" w:cs="Times New Roman"/>
          <w:sz w:val="24"/>
        </w:rPr>
        <w:t>3</w:t>
      </w:r>
      <w:r>
        <w:rPr>
          <w:rFonts w:ascii="仿宋" w:hAnsi="仿宋" w:eastAsia="仿宋" w:cs="Times New Roman"/>
          <w:sz w:val="24"/>
        </w:rPr>
        <w:t>）申报项目须经导师同意</w:t>
      </w:r>
      <w:r>
        <w:rPr>
          <w:rFonts w:hint="eastAsia" w:ascii="仿宋" w:hAnsi="仿宋" w:eastAsia="仿宋" w:cs="Times New Roman"/>
          <w:sz w:val="24"/>
        </w:rPr>
        <w:t>，并随附导师同意函</w:t>
      </w:r>
      <w:r>
        <w:rPr>
          <w:rFonts w:ascii="仿宋" w:hAnsi="仿宋" w:eastAsia="仿宋" w:cs="Times New Roman"/>
          <w:sz w:val="24"/>
        </w:rPr>
        <w:t>。</w:t>
      </w:r>
    </w:p>
    <w:p w14:paraId="4D175E48">
      <w:pPr>
        <w:spacing w:line="540" w:lineRule="exac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ab/>
      </w:r>
      <w:r>
        <w:rPr>
          <w:rFonts w:ascii="仿宋" w:hAnsi="仿宋" w:eastAsia="仿宋" w:cs="Times New Roman"/>
          <w:sz w:val="24"/>
        </w:rPr>
        <w:t>（</w:t>
      </w:r>
      <w:r>
        <w:rPr>
          <w:rFonts w:hint="eastAsia" w:ascii="仿宋" w:hAnsi="仿宋" w:eastAsia="仿宋" w:cs="Times New Roman"/>
          <w:sz w:val="24"/>
        </w:rPr>
        <w:t>4</w:t>
      </w:r>
      <w:r>
        <w:rPr>
          <w:rFonts w:ascii="仿宋" w:hAnsi="仿宋" w:eastAsia="仿宋" w:cs="Times New Roman"/>
          <w:sz w:val="24"/>
        </w:rPr>
        <w:t>）每</w:t>
      </w:r>
      <w:r>
        <w:rPr>
          <w:rFonts w:hint="eastAsia" w:ascii="仿宋" w:hAnsi="仿宋" w:eastAsia="仿宋" w:cs="Times New Roman"/>
          <w:sz w:val="24"/>
        </w:rPr>
        <w:t>人限</w:t>
      </w:r>
      <w:r>
        <w:rPr>
          <w:rFonts w:ascii="仿宋" w:hAnsi="仿宋" w:eastAsia="仿宋" w:cs="Times New Roman"/>
          <w:sz w:val="24"/>
        </w:rPr>
        <w:t>申报1个项目，不得跨赛道重复申报。</w:t>
      </w:r>
    </w:p>
    <w:p w14:paraId="01A40EB8">
      <w:pPr>
        <w:spacing w:line="540" w:lineRule="exact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Times New Roman"/>
          <w:sz w:val="24"/>
        </w:rPr>
        <w:tab/>
      </w:r>
      <w:r>
        <w:rPr>
          <w:rFonts w:ascii="仿宋" w:hAnsi="仿宋" w:eastAsia="仿宋" w:cs="Times New Roman"/>
          <w:sz w:val="24"/>
        </w:rPr>
        <w:t>（</w:t>
      </w:r>
      <w:r>
        <w:rPr>
          <w:rFonts w:hint="eastAsia" w:ascii="仿宋" w:hAnsi="仿宋" w:eastAsia="仿宋" w:cs="Times New Roman"/>
          <w:sz w:val="24"/>
        </w:rPr>
        <w:t>5</w:t>
      </w:r>
      <w:r>
        <w:rPr>
          <w:rFonts w:ascii="仿宋" w:hAnsi="仿宋" w:eastAsia="仿宋" w:cs="Times New Roman"/>
          <w:sz w:val="24"/>
        </w:rPr>
        <w:t>）申报项目须为</w:t>
      </w:r>
      <w:r>
        <w:rPr>
          <w:rFonts w:hint="eastAsia" w:ascii="仿宋" w:hAnsi="仿宋" w:eastAsia="仿宋" w:cs="Times New Roman"/>
          <w:sz w:val="24"/>
        </w:rPr>
        <w:t>申报人的</w:t>
      </w:r>
      <w:r>
        <w:rPr>
          <w:rFonts w:ascii="仿宋" w:hAnsi="仿宋" w:eastAsia="仿宋" w:cs="Times New Roman"/>
          <w:sz w:val="24"/>
        </w:rPr>
        <w:t>原创成果，</w:t>
      </w:r>
      <w:r>
        <w:rPr>
          <w:rFonts w:hint="eastAsia" w:ascii="仿宋" w:hAnsi="仿宋" w:eastAsia="仿宋" w:cs="Times New Roman"/>
          <w:sz w:val="24"/>
        </w:rPr>
        <w:t>若</w:t>
      </w:r>
      <w:r>
        <w:rPr>
          <w:rFonts w:ascii="仿宋" w:hAnsi="仿宋" w:eastAsia="仿宋"/>
          <w:sz w:val="24"/>
          <w:szCs w:val="32"/>
        </w:rPr>
        <w:t>已获</w:t>
      </w:r>
      <w:r>
        <w:rPr>
          <w:rFonts w:hint="eastAsia" w:ascii="仿宋" w:hAnsi="仿宋" w:eastAsia="仿宋"/>
          <w:sz w:val="24"/>
          <w:szCs w:val="32"/>
        </w:rPr>
        <w:t>得</w:t>
      </w:r>
      <w:r>
        <w:rPr>
          <w:rFonts w:ascii="仿宋" w:hAnsi="仿宋" w:eastAsia="仿宋"/>
          <w:sz w:val="24"/>
          <w:szCs w:val="32"/>
        </w:rPr>
        <w:t>其他</w:t>
      </w:r>
      <w:r>
        <w:rPr>
          <w:rFonts w:hint="eastAsia" w:ascii="仿宋" w:hAnsi="仿宋" w:eastAsia="仿宋"/>
          <w:sz w:val="24"/>
          <w:szCs w:val="32"/>
        </w:rPr>
        <w:t>同类型</w:t>
      </w:r>
      <w:r>
        <w:rPr>
          <w:rFonts w:ascii="仿宋" w:hAnsi="仿宋" w:eastAsia="仿宋"/>
          <w:sz w:val="24"/>
          <w:szCs w:val="32"/>
        </w:rPr>
        <w:t>科</w:t>
      </w:r>
      <w:r>
        <w:rPr>
          <w:rFonts w:hint="eastAsia" w:ascii="仿宋" w:hAnsi="仿宋" w:eastAsia="仿宋"/>
          <w:sz w:val="24"/>
          <w:szCs w:val="32"/>
        </w:rPr>
        <w:t>创</w:t>
      </w:r>
      <w:r>
        <w:rPr>
          <w:rFonts w:ascii="仿宋" w:hAnsi="仿宋" w:eastAsia="仿宋"/>
          <w:sz w:val="24"/>
          <w:szCs w:val="32"/>
        </w:rPr>
        <w:t>竞赛奖项</w:t>
      </w:r>
      <w:r>
        <w:rPr>
          <w:rFonts w:hint="eastAsia" w:ascii="仿宋" w:hAnsi="仿宋" w:eastAsia="仿宋"/>
          <w:sz w:val="24"/>
          <w:szCs w:val="32"/>
        </w:rPr>
        <w:t>，</w:t>
      </w:r>
      <w:r>
        <w:rPr>
          <w:rFonts w:ascii="仿宋" w:hAnsi="仿宋" w:eastAsia="仿宋"/>
          <w:sz w:val="24"/>
          <w:szCs w:val="32"/>
        </w:rPr>
        <w:t>应说明相较以往成果的创新点</w:t>
      </w:r>
      <w:r>
        <w:rPr>
          <w:rFonts w:hint="eastAsia" w:ascii="仿宋" w:hAnsi="仿宋" w:eastAsia="仿宋"/>
          <w:sz w:val="24"/>
          <w:szCs w:val="32"/>
        </w:rPr>
        <w:t>、联系</w:t>
      </w:r>
      <w:r>
        <w:rPr>
          <w:rFonts w:ascii="仿宋" w:hAnsi="仿宋" w:eastAsia="仿宋"/>
          <w:sz w:val="24"/>
          <w:szCs w:val="32"/>
        </w:rPr>
        <w:t>及本人新增贡献。</w:t>
      </w:r>
    </w:p>
    <w:p w14:paraId="362BACCD">
      <w:pPr>
        <w:pStyle w:val="20"/>
        <w:numPr>
          <w:ilvl w:val="0"/>
          <w:numId w:val="1"/>
        </w:numPr>
        <w:spacing w:line="540" w:lineRule="exact"/>
        <w:ind w:firstLineChars="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申报项目</w:t>
      </w:r>
      <w:r>
        <w:rPr>
          <w:rFonts w:ascii="仿宋" w:hAnsi="仿宋" w:eastAsia="仿宋" w:cs="Times New Roman"/>
          <w:sz w:val="24"/>
        </w:rPr>
        <w:t>不得侵犯</w:t>
      </w:r>
      <w:r>
        <w:rPr>
          <w:rFonts w:hint="eastAsia" w:ascii="仿宋" w:hAnsi="仿宋" w:eastAsia="仿宋" w:cs="Times New Roman"/>
          <w:sz w:val="24"/>
        </w:rPr>
        <w:t>他人</w:t>
      </w:r>
      <w:r>
        <w:rPr>
          <w:rFonts w:ascii="仿宋" w:hAnsi="仿宋" w:eastAsia="仿宋" w:cs="Times New Roman"/>
          <w:sz w:val="24"/>
        </w:rPr>
        <w:t>知识产权</w:t>
      </w:r>
      <w:r>
        <w:rPr>
          <w:rFonts w:hint="eastAsia" w:ascii="仿宋" w:hAnsi="仿宋" w:eastAsia="仿宋" w:cs="Times New Roman"/>
          <w:sz w:val="24"/>
        </w:rPr>
        <w:t>，所有材料真实、准确、可核查。</w:t>
      </w:r>
    </w:p>
    <w:p w14:paraId="5A71D783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八、赛事监督</w:t>
      </w:r>
    </w:p>
    <w:p w14:paraId="040AA477">
      <w:pPr>
        <w:spacing w:line="540" w:lineRule="exact"/>
        <w:ind w:firstLine="42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为保障评选工作的严肃性、公正性和透明度，特设立“碳元奖”监督委员会，具体内容如下：</w:t>
      </w:r>
    </w:p>
    <w:p w14:paraId="11F3C8CC">
      <w:pPr>
        <w:spacing w:line="540" w:lineRule="exact"/>
        <w:ind w:firstLine="566" w:firstLineChars="236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</w:t>
      </w:r>
      <w:r>
        <w:rPr>
          <w:rFonts w:ascii="仿宋" w:hAnsi="仿宋" w:eastAsia="仿宋" w:cs="Times New Roman"/>
          <w:sz w:val="24"/>
        </w:rPr>
        <w:t xml:space="preserve">. </w:t>
      </w:r>
      <w:r>
        <w:rPr>
          <w:rFonts w:hint="eastAsia" w:ascii="仿宋" w:hAnsi="仿宋" w:eastAsia="仿宋" w:cs="Times New Roman"/>
          <w:sz w:val="24"/>
        </w:rPr>
        <w:t>监督委员会设置：“碳元奖”监督委员会由主办、承办单位代表及校内相关职能部门共同组成，负责对申报、评审、公示等环节进行全程监督，受理相关申诉和举报。监督委员会独立于执行委员会和评奖委员会开展工作。</w:t>
      </w:r>
    </w:p>
    <w:p w14:paraId="267C5512">
      <w:pPr>
        <w:spacing w:line="540" w:lineRule="exact"/>
        <w:ind w:firstLine="566" w:firstLineChars="236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 xml:space="preserve">2. </w:t>
      </w:r>
      <w:r>
        <w:rPr>
          <w:rFonts w:hint="eastAsia" w:ascii="仿宋" w:hAnsi="仿宋" w:eastAsia="仿宋" w:cs="Times New Roman"/>
          <w:sz w:val="24"/>
        </w:rPr>
        <w:t>申诉与举报受理：监督委员会在评选期间设立专门的申诉与举报渠道并予以公布。任何个人或单位如对参评项目或评选程序存有异议，可在规定期限内向监督委员会进行实名书面举报。监督委员会将对举报内容进行核实与处理，并对举报人信息予以保密。</w:t>
      </w:r>
    </w:p>
    <w:p w14:paraId="0AD84C43">
      <w:pPr>
        <w:spacing w:line="540" w:lineRule="exact"/>
        <w:ind w:firstLine="566" w:firstLineChars="236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3.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调查与处理：监督委员会在接到申诉或举报后，将启动调查程序，对所反映的情况进行核实，根据情节严重性，对相关个人或项目进行相应处理，并通报相关单位。</w:t>
      </w:r>
    </w:p>
    <w:p w14:paraId="3165C273">
      <w:pPr>
        <w:spacing w:line="540" w:lineRule="exact"/>
        <w:ind w:firstLine="566" w:firstLineChars="236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4.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权益落实监督：监督委员会在评选结束后，将对奖金发放以及后续支持环节的落实情况与流程进行监督，切实保障获奖者的应得权益。</w:t>
      </w:r>
    </w:p>
    <w:p w14:paraId="12A4D73F">
      <w:pPr>
        <w:spacing w:before="156" w:beforeLines="50" w:after="156" w:afterLines="50" w:line="540" w:lineRule="exact"/>
        <w:ind w:firstLine="561" w:firstLineChars="20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九、附则</w:t>
      </w:r>
    </w:p>
    <w:p w14:paraId="7824BBEE">
      <w:pPr>
        <w:spacing w:line="540" w:lineRule="exact"/>
        <w:ind w:firstLine="42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本办法从公布之日起生效，由清华大学碳中和研究院负责解释。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626C1"/>
    <w:multiLevelType w:val="multilevel"/>
    <w:tmpl w:val="635626C1"/>
    <w:lvl w:ilvl="0" w:tentative="0">
      <w:start w:val="6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1FCDD"/>
    <w:rsid w:val="000043E3"/>
    <w:rsid w:val="0000604A"/>
    <w:rsid w:val="0002061F"/>
    <w:rsid w:val="0006340D"/>
    <w:rsid w:val="00080B18"/>
    <w:rsid w:val="00091151"/>
    <w:rsid w:val="000C4F5A"/>
    <w:rsid w:val="00113668"/>
    <w:rsid w:val="001245D8"/>
    <w:rsid w:val="00133E57"/>
    <w:rsid w:val="001635C0"/>
    <w:rsid w:val="00163656"/>
    <w:rsid w:val="001900E9"/>
    <w:rsid w:val="001A424E"/>
    <w:rsid w:val="001C36B4"/>
    <w:rsid w:val="001C5D31"/>
    <w:rsid w:val="001F445A"/>
    <w:rsid w:val="001F50BF"/>
    <w:rsid w:val="00206489"/>
    <w:rsid w:val="00210853"/>
    <w:rsid w:val="00211936"/>
    <w:rsid w:val="00231873"/>
    <w:rsid w:val="00237B5D"/>
    <w:rsid w:val="0025680A"/>
    <w:rsid w:val="0026537F"/>
    <w:rsid w:val="00272994"/>
    <w:rsid w:val="00275B3A"/>
    <w:rsid w:val="002808EB"/>
    <w:rsid w:val="00290D3B"/>
    <w:rsid w:val="00292638"/>
    <w:rsid w:val="002A730D"/>
    <w:rsid w:val="002B3539"/>
    <w:rsid w:val="002E20CF"/>
    <w:rsid w:val="00311BFA"/>
    <w:rsid w:val="003336C6"/>
    <w:rsid w:val="00350ED5"/>
    <w:rsid w:val="00383C2D"/>
    <w:rsid w:val="003C371E"/>
    <w:rsid w:val="003D422A"/>
    <w:rsid w:val="003F1E46"/>
    <w:rsid w:val="004128C2"/>
    <w:rsid w:val="00422CA3"/>
    <w:rsid w:val="004676D4"/>
    <w:rsid w:val="004764D7"/>
    <w:rsid w:val="00480E0B"/>
    <w:rsid w:val="00485B56"/>
    <w:rsid w:val="004C51EF"/>
    <w:rsid w:val="004C5231"/>
    <w:rsid w:val="004D2F70"/>
    <w:rsid w:val="004E4F40"/>
    <w:rsid w:val="004E6D77"/>
    <w:rsid w:val="005004E7"/>
    <w:rsid w:val="00501545"/>
    <w:rsid w:val="00503797"/>
    <w:rsid w:val="005134A2"/>
    <w:rsid w:val="00522C7A"/>
    <w:rsid w:val="0052561E"/>
    <w:rsid w:val="005823D6"/>
    <w:rsid w:val="00583163"/>
    <w:rsid w:val="005875E5"/>
    <w:rsid w:val="005B57B4"/>
    <w:rsid w:val="005B5F0E"/>
    <w:rsid w:val="005C45E9"/>
    <w:rsid w:val="005F6E06"/>
    <w:rsid w:val="005F7B3C"/>
    <w:rsid w:val="006105C6"/>
    <w:rsid w:val="00610BE3"/>
    <w:rsid w:val="006227F2"/>
    <w:rsid w:val="00622A1C"/>
    <w:rsid w:val="006315A1"/>
    <w:rsid w:val="006660FC"/>
    <w:rsid w:val="00673081"/>
    <w:rsid w:val="00694C5E"/>
    <w:rsid w:val="006A2BF3"/>
    <w:rsid w:val="006E5942"/>
    <w:rsid w:val="006F245C"/>
    <w:rsid w:val="006F41CE"/>
    <w:rsid w:val="00705B29"/>
    <w:rsid w:val="00706F45"/>
    <w:rsid w:val="00715DC4"/>
    <w:rsid w:val="0071750F"/>
    <w:rsid w:val="0076483C"/>
    <w:rsid w:val="00770665"/>
    <w:rsid w:val="007B493D"/>
    <w:rsid w:val="00817D08"/>
    <w:rsid w:val="0085207D"/>
    <w:rsid w:val="00853688"/>
    <w:rsid w:val="008569AA"/>
    <w:rsid w:val="0086571C"/>
    <w:rsid w:val="008677A6"/>
    <w:rsid w:val="008746E3"/>
    <w:rsid w:val="00893A82"/>
    <w:rsid w:val="008A0086"/>
    <w:rsid w:val="008D689B"/>
    <w:rsid w:val="008E5C70"/>
    <w:rsid w:val="009130C4"/>
    <w:rsid w:val="00926463"/>
    <w:rsid w:val="00932A1A"/>
    <w:rsid w:val="00936788"/>
    <w:rsid w:val="00946ACB"/>
    <w:rsid w:val="009506C3"/>
    <w:rsid w:val="00970870"/>
    <w:rsid w:val="00984799"/>
    <w:rsid w:val="009859A6"/>
    <w:rsid w:val="00994B4F"/>
    <w:rsid w:val="009A37CF"/>
    <w:rsid w:val="009A6CAF"/>
    <w:rsid w:val="009B0A94"/>
    <w:rsid w:val="009C1BAD"/>
    <w:rsid w:val="009C34E5"/>
    <w:rsid w:val="00A21428"/>
    <w:rsid w:val="00A27738"/>
    <w:rsid w:val="00A4327A"/>
    <w:rsid w:val="00A52277"/>
    <w:rsid w:val="00A566FB"/>
    <w:rsid w:val="00A57AA7"/>
    <w:rsid w:val="00A86F18"/>
    <w:rsid w:val="00A875BA"/>
    <w:rsid w:val="00A91A31"/>
    <w:rsid w:val="00A97F2B"/>
    <w:rsid w:val="00AC124F"/>
    <w:rsid w:val="00AD49CB"/>
    <w:rsid w:val="00AD71D6"/>
    <w:rsid w:val="00AE067A"/>
    <w:rsid w:val="00B12289"/>
    <w:rsid w:val="00B13BB7"/>
    <w:rsid w:val="00B231D4"/>
    <w:rsid w:val="00B3711F"/>
    <w:rsid w:val="00B468EB"/>
    <w:rsid w:val="00B5075C"/>
    <w:rsid w:val="00B57F88"/>
    <w:rsid w:val="00B81B69"/>
    <w:rsid w:val="00B901AC"/>
    <w:rsid w:val="00BE4009"/>
    <w:rsid w:val="00BF7F44"/>
    <w:rsid w:val="00C0209A"/>
    <w:rsid w:val="00C040C9"/>
    <w:rsid w:val="00C07EE1"/>
    <w:rsid w:val="00C13E44"/>
    <w:rsid w:val="00C456B8"/>
    <w:rsid w:val="00C5422D"/>
    <w:rsid w:val="00C56EEA"/>
    <w:rsid w:val="00C57B36"/>
    <w:rsid w:val="00C8212A"/>
    <w:rsid w:val="00CC6E14"/>
    <w:rsid w:val="00CD3FFB"/>
    <w:rsid w:val="00CD455D"/>
    <w:rsid w:val="00D15D0E"/>
    <w:rsid w:val="00D4463A"/>
    <w:rsid w:val="00D801B8"/>
    <w:rsid w:val="00D87A65"/>
    <w:rsid w:val="00D92F44"/>
    <w:rsid w:val="00DA2342"/>
    <w:rsid w:val="00DA3613"/>
    <w:rsid w:val="00DB594E"/>
    <w:rsid w:val="00DD7FA7"/>
    <w:rsid w:val="00DE633A"/>
    <w:rsid w:val="00DE7848"/>
    <w:rsid w:val="00E04A51"/>
    <w:rsid w:val="00E04E92"/>
    <w:rsid w:val="00E0779C"/>
    <w:rsid w:val="00E130D2"/>
    <w:rsid w:val="00E270AF"/>
    <w:rsid w:val="00E369E6"/>
    <w:rsid w:val="00E700A3"/>
    <w:rsid w:val="00E8444C"/>
    <w:rsid w:val="00E86360"/>
    <w:rsid w:val="00EA71F3"/>
    <w:rsid w:val="00EC03DE"/>
    <w:rsid w:val="00ED2EB7"/>
    <w:rsid w:val="00EF0B29"/>
    <w:rsid w:val="00F010C7"/>
    <w:rsid w:val="00F01C79"/>
    <w:rsid w:val="00F20E8B"/>
    <w:rsid w:val="00F50886"/>
    <w:rsid w:val="00F657FD"/>
    <w:rsid w:val="00F80F32"/>
    <w:rsid w:val="00FC59AA"/>
    <w:rsid w:val="177ECBAE"/>
    <w:rsid w:val="17F393A8"/>
    <w:rsid w:val="1D21FCDD"/>
    <w:rsid w:val="1FC705E1"/>
    <w:rsid w:val="1FFFCD57"/>
    <w:rsid w:val="2AECE0BB"/>
    <w:rsid w:val="2DFFC8B2"/>
    <w:rsid w:val="2FBE9EC7"/>
    <w:rsid w:val="2FBF1E19"/>
    <w:rsid w:val="37DBAEA2"/>
    <w:rsid w:val="37FFC8DD"/>
    <w:rsid w:val="3DBF4A69"/>
    <w:rsid w:val="3E1A9343"/>
    <w:rsid w:val="3E586449"/>
    <w:rsid w:val="3F4FC90B"/>
    <w:rsid w:val="3F9E8456"/>
    <w:rsid w:val="43BD73C0"/>
    <w:rsid w:val="47FF4D52"/>
    <w:rsid w:val="4FB7789C"/>
    <w:rsid w:val="4FBB85B1"/>
    <w:rsid w:val="4FFDFFED"/>
    <w:rsid w:val="4FFE270B"/>
    <w:rsid w:val="54AE0164"/>
    <w:rsid w:val="57C75AD8"/>
    <w:rsid w:val="59EFF6E4"/>
    <w:rsid w:val="5AD56C50"/>
    <w:rsid w:val="5B6E6C77"/>
    <w:rsid w:val="62BF5FBB"/>
    <w:rsid w:val="6DFB9C28"/>
    <w:rsid w:val="6EF4143F"/>
    <w:rsid w:val="6EFB91CA"/>
    <w:rsid w:val="6FC9BA22"/>
    <w:rsid w:val="6FFB0DF9"/>
    <w:rsid w:val="6FFF5244"/>
    <w:rsid w:val="74CE3049"/>
    <w:rsid w:val="75D72C49"/>
    <w:rsid w:val="76C5E2A3"/>
    <w:rsid w:val="7AA94EC8"/>
    <w:rsid w:val="7B79FC21"/>
    <w:rsid w:val="7BDF81D3"/>
    <w:rsid w:val="7BEDC969"/>
    <w:rsid w:val="7CB40796"/>
    <w:rsid w:val="7D7D658E"/>
    <w:rsid w:val="7D7EDF3E"/>
    <w:rsid w:val="7DBA083D"/>
    <w:rsid w:val="7EDF8621"/>
    <w:rsid w:val="7F7F69E9"/>
    <w:rsid w:val="7F9EBA1F"/>
    <w:rsid w:val="7F9FE271"/>
    <w:rsid w:val="7FAE3B7F"/>
    <w:rsid w:val="7FFF3D47"/>
    <w:rsid w:val="99A3A19E"/>
    <w:rsid w:val="A6FF5543"/>
    <w:rsid w:val="B9394F5E"/>
    <w:rsid w:val="BF55C478"/>
    <w:rsid w:val="BFFF06D9"/>
    <w:rsid w:val="C6FFA2A8"/>
    <w:rsid w:val="C9BBFA45"/>
    <w:rsid w:val="CABF7810"/>
    <w:rsid w:val="CDFA627C"/>
    <w:rsid w:val="CEAF0FF9"/>
    <w:rsid w:val="CEEECA94"/>
    <w:rsid w:val="CFFF4711"/>
    <w:rsid w:val="D3ABD4B1"/>
    <w:rsid w:val="DF1D0D8D"/>
    <w:rsid w:val="DF7B708E"/>
    <w:rsid w:val="DFBE442C"/>
    <w:rsid w:val="DFFEC22E"/>
    <w:rsid w:val="E9DC5889"/>
    <w:rsid w:val="EBBEF4CD"/>
    <w:rsid w:val="ECFF26AC"/>
    <w:rsid w:val="EF1F9968"/>
    <w:rsid w:val="F2FF9A00"/>
    <w:rsid w:val="FB7D2FBA"/>
    <w:rsid w:val="FBFF0295"/>
    <w:rsid w:val="FD5BF7DD"/>
    <w:rsid w:val="FD8B9589"/>
    <w:rsid w:val="FDF7F3DB"/>
    <w:rsid w:val="FDFD5370"/>
    <w:rsid w:val="FEFFACA2"/>
    <w:rsid w:val="FF75ABDB"/>
    <w:rsid w:val="FFBFB6DE"/>
    <w:rsid w:val="FFCF9951"/>
    <w:rsid w:val="FFF51BF6"/>
    <w:rsid w:val="FFF62C84"/>
    <w:rsid w:val="FFF90B21"/>
    <w:rsid w:val="FFFBFF6A"/>
    <w:rsid w:val="FFFF15C7"/>
    <w:rsid w:val="FFFF4A57"/>
    <w:rsid w:val="FFFF66DF"/>
    <w:rsid w:val="FF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4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uiPriority w:val="0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22"/>
    <w:uiPriority w:val="0"/>
    <w:rPr>
      <w:b/>
      <w:bCs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uiPriority w:val="0"/>
    <w:rPr>
      <w:sz w:val="21"/>
      <w:szCs w:val="21"/>
    </w:rPr>
  </w:style>
  <w:style w:type="paragraph" w:customStyle="1" w:styleId="15">
    <w:name w:val="Compact"/>
    <w:basedOn w:val="3"/>
    <w:qFormat/>
    <w:uiPriority w:val="0"/>
    <w:pPr>
      <w:spacing w:before="36" w:after="36"/>
    </w:pPr>
  </w:style>
  <w:style w:type="table" w:customStyle="1" w:styleId="16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17">
    <w:name w:val="First Paragraph"/>
    <w:basedOn w:val="3"/>
    <w:next w:val="3"/>
    <w:qFormat/>
    <w:uiPriority w:val="0"/>
  </w:style>
  <w:style w:type="paragraph" w:customStyle="1" w:styleId="1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HTML 预设格式 字符"/>
    <w:basedOn w:val="11"/>
    <w:link w:val="6"/>
    <w:uiPriority w:val="0"/>
    <w:rPr>
      <w:rFonts w:ascii="Courier New" w:hAnsi="Courier New" w:cs="Courier New" w:eastAsiaTheme="minorEastAsia"/>
      <w:kern w:val="2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  <w:style w:type="character" w:customStyle="1" w:styleId="21">
    <w:name w:val="批注文字 字符"/>
    <w:basedOn w:val="11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8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4">
    <w:name w:val="页眉 字符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11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355</Words>
  <Characters>2030</Characters>
  <Lines>16</Lines>
  <Paragraphs>4</Paragraphs>
  <TotalTime>57</TotalTime>
  <ScaleCrop>false</ScaleCrop>
  <LinksUpToDate>false</LinksUpToDate>
  <CharactersWithSpaces>2381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2025-08-21T14:51:00Z</dcterms:created>
  <dc:creator>fireflysnow</dc:creator>
  <cp:lastModifiedBy>远山岚黛</cp:lastModifiedBy>
  <dcterms:modified xsi:type="dcterms:W3CDTF">2025-08-27T15:11:11Z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7A0022603B550EB6D5B56B68A0F5BE0A_41</vt:lpwstr>
  </property>
</Properties>
</file>