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AADF1">
      <w:pPr>
        <w:spacing w:line="540" w:lineRule="exact"/>
        <w:jc w:val="center"/>
        <w:rPr>
          <w:rFonts w:ascii="方正小标宋_GBK" w:eastAsia="方正小标宋_GBK" w:cs="Times New Roman" w:hAnsiTheme="minorEastAsia"/>
          <w:b/>
          <w:bCs/>
          <w:sz w:val="44"/>
          <w:szCs w:val="52"/>
        </w:rPr>
      </w:pPr>
      <w:r>
        <w:rPr>
          <w:rFonts w:hint="eastAsia" w:ascii="方正小标宋_GBK" w:eastAsia="方正小标宋_GBK" w:cs="Times New Roman" w:hAnsiTheme="minorEastAsia"/>
          <w:b/>
          <w:bCs/>
          <w:sz w:val="44"/>
          <w:szCs w:val="52"/>
          <w:lang w:val="en-US" w:eastAsia="zh-CN"/>
        </w:rPr>
        <w:t>第二届</w:t>
      </w:r>
      <w:r>
        <w:rPr>
          <w:rFonts w:hint="eastAsia" w:ascii="方正小标宋_GBK" w:eastAsia="方正小标宋_GBK" w:cs="Times New Roman" w:hAnsiTheme="minorEastAsia"/>
          <w:b/>
          <w:bCs/>
          <w:sz w:val="44"/>
          <w:szCs w:val="52"/>
        </w:rPr>
        <w:t>清华-远景“碳元奖”实施办法</w:t>
      </w:r>
    </w:p>
    <w:p w14:paraId="619DCC63">
      <w:pPr>
        <w:spacing w:before="156" w:beforeLines="50" w:after="156" w:afterLines="50" w:line="540" w:lineRule="exact"/>
        <w:rPr>
          <w:rFonts w:ascii="黑体" w:hAnsi="黑体" w:eastAsia="黑体" w:cs="Times New Roman"/>
          <w:b/>
          <w:bCs/>
          <w:sz w:val="28"/>
          <w:szCs w:val="28"/>
        </w:rPr>
      </w:pPr>
    </w:p>
    <w:p w14:paraId="0DC0605A">
      <w:pPr>
        <w:spacing w:before="156" w:beforeLines="50" w:after="156" w:afterLines="50" w:line="540" w:lineRule="exact"/>
        <w:ind w:firstLine="562" w:firstLineChars="200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一、</w:t>
      </w:r>
      <w:r>
        <w:rPr>
          <w:rFonts w:ascii="黑体" w:hAnsi="黑体" w:eastAsia="黑体" w:cs="Times New Roman"/>
          <w:b/>
          <w:bCs/>
          <w:sz w:val="28"/>
          <w:szCs w:val="28"/>
        </w:rPr>
        <w:t>奖项介绍</w:t>
      </w:r>
    </w:p>
    <w:p w14:paraId="3A8117BB">
      <w:pPr>
        <w:spacing w:line="540" w:lineRule="exact"/>
        <w:ind w:firstLine="420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>为深入贯彻国家“双碳”战略目标，助推碳中和领域的颠覆性技术突破与示范变革，推动碳中和领域科技创新与人才培养，清华大学与远景科技集团联合设立全球前瞻性学术奖项——清华-远景“碳元奖”（以下简称“碳元奖”）。该奖项由远景科技集团提供公益捐赠，依托清华大学碳中和研究院顶尖专家库</w:t>
      </w:r>
      <w:r>
        <w:rPr>
          <w:rFonts w:hint="eastAsia" w:ascii="仿宋" w:hAnsi="仿宋" w:eastAsia="仿宋" w:cs="Times New Roman"/>
          <w:sz w:val="24"/>
        </w:rPr>
        <w:t>和“碳中和与能源智联”国际科学大计划平台，构</w:t>
      </w:r>
      <w:r>
        <w:rPr>
          <w:rFonts w:ascii="仿宋" w:hAnsi="仿宋" w:eastAsia="仿宋" w:cs="Times New Roman"/>
          <w:sz w:val="24"/>
        </w:rPr>
        <w:t>建多维度创新体系</w:t>
      </w:r>
      <w:r>
        <w:rPr>
          <w:rFonts w:hint="eastAsia" w:ascii="仿宋" w:hAnsi="仿宋" w:eastAsia="仿宋" w:cs="Times New Roman"/>
          <w:sz w:val="24"/>
        </w:rPr>
        <w:t>、打</w:t>
      </w:r>
      <w:r>
        <w:rPr>
          <w:rFonts w:ascii="仿宋" w:hAnsi="仿宋" w:eastAsia="仿宋" w:cs="Times New Roman"/>
          <w:sz w:val="24"/>
        </w:rPr>
        <w:t>造具有全球影响力的碳中和科技创新策源地</w:t>
      </w:r>
      <w:r>
        <w:rPr>
          <w:rFonts w:hint="eastAsia" w:ascii="仿宋" w:hAnsi="仿宋" w:eastAsia="仿宋" w:cs="Times New Roman"/>
          <w:sz w:val="24"/>
        </w:rPr>
        <w:t>和人才库</w:t>
      </w:r>
      <w:r>
        <w:rPr>
          <w:rFonts w:ascii="仿宋" w:hAnsi="仿宋" w:eastAsia="仿宋" w:cs="Times New Roman"/>
          <w:sz w:val="24"/>
        </w:rPr>
        <w:t>。</w:t>
      </w:r>
    </w:p>
    <w:p w14:paraId="2BA1768F">
      <w:pPr>
        <w:spacing w:line="540" w:lineRule="exact"/>
        <w:ind w:firstLine="420"/>
        <w:rPr>
          <w:rFonts w:ascii="Times New Roman" w:hAnsi="Times New Roman" w:cs="Times New Roman"/>
          <w:szCs w:val="21"/>
        </w:rPr>
      </w:pPr>
      <w:r>
        <w:rPr>
          <w:rFonts w:ascii="仿宋" w:hAnsi="仿宋" w:eastAsia="仿宋" w:cs="Times New Roman"/>
          <w:sz w:val="24"/>
        </w:rPr>
        <w:t>“碳元奖”面向清华大学在校研究生和博士后，</w:t>
      </w:r>
      <w:r>
        <w:rPr>
          <w:rFonts w:hint="eastAsia" w:ascii="仿宋" w:hAnsi="仿宋" w:eastAsia="仿宋" w:cs="Times New Roman"/>
          <w:sz w:val="24"/>
        </w:rPr>
        <w:t>鼓</w:t>
      </w:r>
      <w:r>
        <w:rPr>
          <w:rFonts w:ascii="仿宋" w:hAnsi="仿宋" w:eastAsia="仿宋" w:cs="Times New Roman"/>
          <w:sz w:val="24"/>
        </w:rPr>
        <w:t>励青年学者立足学术前沿、服务国家战略，开展具有创新性、交叉性和示范效应的科研探索，助力实现高水平科技自立自强。该奖项的设立将鼓励面向碳中和领域的</w:t>
      </w:r>
      <w:r>
        <w:rPr>
          <w:rFonts w:hint="eastAsia" w:ascii="仿宋" w:hAnsi="仿宋" w:eastAsia="仿宋" w:cs="Times New Roman"/>
          <w:sz w:val="24"/>
        </w:rPr>
        <w:t>个人原</w:t>
      </w:r>
      <w:r>
        <w:rPr>
          <w:rFonts w:ascii="仿宋" w:hAnsi="仿宋" w:eastAsia="仿宋" w:cs="Times New Roman"/>
          <w:sz w:val="24"/>
        </w:rPr>
        <w:t>创贡献，助推培养国家亟需的高层次、复合型青年创新人才，从而为构建人类可持续</w:t>
      </w:r>
      <w:r>
        <w:rPr>
          <w:rFonts w:hint="eastAsia" w:ascii="仿宋" w:hAnsi="仿宋" w:eastAsia="仿宋" w:cs="Times New Roman"/>
          <w:sz w:val="24"/>
        </w:rPr>
        <w:t>未</w:t>
      </w:r>
      <w:r>
        <w:rPr>
          <w:rFonts w:ascii="仿宋" w:hAnsi="仿宋" w:eastAsia="仿宋" w:cs="Times New Roman"/>
          <w:sz w:val="24"/>
        </w:rPr>
        <w:t>来贡献突破性的解决方案。</w:t>
      </w:r>
    </w:p>
    <w:p w14:paraId="2644D1F5">
      <w:pPr>
        <w:spacing w:before="156" w:beforeLines="50" w:after="156" w:afterLines="50" w:line="540" w:lineRule="exact"/>
        <w:ind w:firstLine="562" w:firstLineChars="200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二、赛事</w:t>
      </w:r>
      <w:r>
        <w:rPr>
          <w:rFonts w:ascii="黑体" w:hAnsi="黑体" w:eastAsia="黑体" w:cs="Times New Roman"/>
          <w:b/>
          <w:bCs/>
          <w:sz w:val="28"/>
          <w:szCs w:val="28"/>
        </w:rPr>
        <w:t>组织</w:t>
      </w:r>
    </w:p>
    <w:p w14:paraId="1861A97D">
      <w:pPr>
        <w:spacing w:line="540" w:lineRule="exact"/>
        <w:ind w:firstLine="482" w:firstLineChars="200"/>
        <w:jc w:val="left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b/>
          <w:bCs/>
          <w:sz w:val="24"/>
        </w:rPr>
        <w:t>主办单位：</w:t>
      </w:r>
      <w:r>
        <w:rPr>
          <w:rFonts w:ascii="仿宋" w:hAnsi="仿宋" w:eastAsia="仿宋" w:cs="Times New Roman"/>
          <w:sz w:val="24"/>
        </w:rPr>
        <w:t>清华大学、远景科技集团</w:t>
      </w:r>
    </w:p>
    <w:p w14:paraId="746C63D5">
      <w:pPr>
        <w:spacing w:line="540" w:lineRule="exact"/>
        <w:ind w:firstLine="482" w:firstLineChars="200"/>
        <w:jc w:val="left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b/>
          <w:bCs/>
          <w:sz w:val="24"/>
        </w:rPr>
        <w:t>承办单位：</w:t>
      </w:r>
      <w:r>
        <w:rPr>
          <w:rFonts w:ascii="仿宋" w:hAnsi="仿宋" w:eastAsia="仿宋" w:cs="Times New Roman"/>
          <w:sz w:val="24"/>
        </w:rPr>
        <w:t>清华大学碳中和研究院</w:t>
      </w:r>
      <w:r>
        <w:rPr>
          <w:rFonts w:hint="eastAsia" w:ascii="仿宋" w:hAnsi="仿宋" w:eastAsia="仿宋" w:cs="Times New Roman"/>
          <w:sz w:val="24"/>
        </w:rPr>
        <w:t>、清华大学国际交流中心</w:t>
      </w:r>
    </w:p>
    <w:p w14:paraId="059ACB3B">
      <w:pPr>
        <w:spacing w:line="540" w:lineRule="exact"/>
        <w:ind w:firstLine="482" w:firstLineChars="200"/>
        <w:jc w:val="left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b/>
          <w:bCs/>
          <w:sz w:val="24"/>
        </w:rPr>
        <w:t>协办单位：</w:t>
      </w:r>
      <w:r>
        <w:rPr>
          <w:rFonts w:hint="eastAsia" w:ascii="仿宋" w:hAnsi="仿宋" w:eastAsia="仿宋" w:cs="Times New Roman"/>
          <w:sz w:val="24"/>
        </w:rPr>
        <w:t>清华大学远景印尼可持续发展中心、清华大学远景巴西可持续发展中心</w:t>
      </w:r>
    </w:p>
    <w:p w14:paraId="7AE69969">
      <w:pPr>
        <w:spacing w:line="540" w:lineRule="exact"/>
        <w:ind w:firstLine="482" w:firstLineChars="200"/>
        <w:jc w:val="left"/>
        <w:rPr>
          <w:rFonts w:ascii="仿宋" w:hAnsi="仿宋" w:eastAsia="仿宋" w:cs="Times New Roman"/>
          <w:b/>
          <w:bCs/>
          <w:sz w:val="24"/>
        </w:rPr>
      </w:pPr>
      <w:r>
        <w:rPr>
          <w:rFonts w:hint="eastAsia" w:ascii="仿宋" w:hAnsi="仿宋" w:eastAsia="仿宋" w:cs="Times New Roman"/>
          <w:b/>
          <w:bCs/>
          <w:sz w:val="24"/>
        </w:rPr>
        <w:t>“碳元奖”发起人团</w:t>
      </w:r>
      <w:r>
        <w:rPr>
          <w:rFonts w:ascii="仿宋" w:hAnsi="仿宋" w:eastAsia="仿宋" w:cs="Times New Roman"/>
          <w:b/>
          <w:bCs/>
          <w:sz w:val="24"/>
        </w:rPr>
        <w:t>：</w:t>
      </w:r>
    </w:p>
    <w:tbl>
      <w:tblPr>
        <w:tblStyle w:val="14"/>
        <w:tblW w:w="0" w:type="auto"/>
        <w:tblInd w:w="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6527"/>
      </w:tblGrid>
      <w:tr w14:paraId="38F7DC1D">
        <w:tblPrEx>
          <w:tblLayout w:type="fixed"/>
        </w:tblPrEx>
        <w:tc>
          <w:tcPr>
            <w:tcW w:w="1387" w:type="dxa"/>
          </w:tcPr>
          <w:p w14:paraId="6FBBF16E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贺克斌</w:t>
            </w:r>
          </w:p>
        </w:tc>
        <w:tc>
          <w:tcPr>
            <w:tcW w:w="6527" w:type="dxa"/>
          </w:tcPr>
          <w:p w14:paraId="45853CB0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中国工程院院士、清华大学碳中和研究院院长、环境学院教授</w:t>
            </w:r>
          </w:p>
        </w:tc>
      </w:tr>
      <w:tr w14:paraId="5A5A7CEF">
        <w:tblPrEx>
          <w:tblLayout w:type="fixed"/>
        </w:tblPrEx>
        <w:tc>
          <w:tcPr>
            <w:tcW w:w="1387" w:type="dxa"/>
          </w:tcPr>
          <w:p w14:paraId="35F7AF5E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江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</w:rPr>
              <w:t xml:space="preserve"> 亿</w:t>
            </w:r>
          </w:p>
        </w:tc>
        <w:tc>
          <w:tcPr>
            <w:tcW w:w="6527" w:type="dxa"/>
          </w:tcPr>
          <w:p w14:paraId="007CD9DD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中国工程院院士、清华大学建筑学院教授</w:t>
            </w:r>
          </w:p>
        </w:tc>
      </w:tr>
      <w:tr w14:paraId="4A8FA5AA">
        <w:tblPrEx>
          <w:tblLayout w:type="fixed"/>
        </w:tblPrEx>
        <w:tc>
          <w:tcPr>
            <w:tcW w:w="1387" w:type="dxa"/>
          </w:tcPr>
          <w:p w14:paraId="6C9E7940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欧阳明高</w:t>
            </w:r>
          </w:p>
        </w:tc>
        <w:tc>
          <w:tcPr>
            <w:tcW w:w="6527" w:type="dxa"/>
          </w:tcPr>
          <w:p w14:paraId="18D4746C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中国科学院院士、清华大学车辆与运载学院教授</w:t>
            </w:r>
          </w:p>
        </w:tc>
      </w:tr>
      <w:tr w14:paraId="114024E2">
        <w:tblPrEx>
          <w:tblLayout w:type="fixed"/>
        </w:tblPrEx>
        <w:tc>
          <w:tcPr>
            <w:tcW w:w="1387" w:type="dxa"/>
          </w:tcPr>
          <w:p w14:paraId="4967E9C8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姜培学</w:t>
            </w:r>
          </w:p>
        </w:tc>
        <w:tc>
          <w:tcPr>
            <w:tcW w:w="6527" w:type="dxa"/>
          </w:tcPr>
          <w:p w14:paraId="34F01A77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中国科学院院士、清华大学副校长、能源与动力工程系教授</w:t>
            </w:r>
          </w:p>
        </w:tc>
      </w:tr>
      <w:tr w14:paraId="3367841A">
        <w:tblPrEx>
          <w:tblLayout w:type="fixed"/>
        </w:tblPrEx>
        <w:tc>
          <w:tcPr>
            <w:tcW w:w="1387" w:type="dxa"/>
          </w:tcPr>
          <w:p w14:paraId="65871F6C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李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</w:rPr>
              <w:t xml:space="preserve"> 政</w:t>
            </w:r>
          </w:p>
        </w:tc>
        <w:tc>
          <w:tcPr>
            <w:tcW w:w="6527" w:type="dxa"/>
          </w:tcPr>
          <w:p w14:paraId="48165285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清华大学气候变化与可持续发展研究院院长、能源与动力工程系教授</w:t>
            </w:r>
          </w:p>
        </w:tc>
      </w:tr>
      <w:tr w14:paraId="21C50686">
        <w:tblPrEx>
          <w:tblLayout w:type="fixed"/>
        </w:tblPrEx>
        <w:tc>
          <w:tcPr>
            <w:tcW w:w="1387" w:type="dxa"/>
          </w:tcPr>
          <w:p w14:paraId="47706098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康重庆</w:t>
            </w:r>
          </w:p>
        </w:tc>
        <w:tc>
          <w:tcPr>
            <w:tcW w:w="6527" w:type="dxa"/>
          </w:tcPr>
          <w:p w14:paraId="6596FB19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清华大学电机工程与应用电子技术系系主任、教授</w:t>
            </w:r>
          </w:p>
        </w:tc>
      </w:tr>
      <w:tr w14:paraId="3519CB18">
        <w:tblPrEx>
          <w:tblLayout w:type="fixed"/>
        </w:tblPrEx>
        <w:tc>
          <w:tcPr>
            <w:tcW w:w="1387" w:type="dxa"/>
          </w:tcPr>
          <w:p w14:paraId="6209ACBD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张希良</w:t>
            </w:r>
          </w:p>
        </w:tc>
        <w:tc>
          <w:tcPr>
            <w:tcW w:w="6527" w:type="dxa"/>
          </w:tcPr>
          <w:p w14:paraId="41253ED1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清华大学核能与新能源技术研究院教授</w:t>
            </w:r>
          </w:p>
        </w:tc>
      </w:tr>
      <w:tr w14:paraId="422F834D">
        <w:tblPrEx>
          <w:tblLayout w:type="fixed"/>
        </w:tblPrEx>
        <w:tc>
          <w:tcPr>
            <w:tcW w:w="1387" w:type="dxa"/>
          </w:tcPr>
          <w:p w14:paraId="3266D87D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魏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</w:rPr>
              <w:t xml:space="preserve"> 飞</w:t>
            </w:r>
          </w:p>
        </w:tc>
        <w:tc>
          <w:tcPr>
            <w:tcW w:w="6527" w:type="dxa"/>
          </w:tcPr>
          <w:p w14:paraId="003F4ECA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清华大学化学工程系学术委员会主任、教授</w:t>
            </w:r>
          </w:p>
        </w:tc>
      </w:tr>
    </w:tbl>
    <w:p w14:paraId="68F961AA">
      <w:pPr>
        <w:spacing w:line="540" w:lineRule="exact"/>
        <w:ind w:firstLine="482" w:firstLineChars="200"/>
        <w:jc w:val="left"/>
        <w:rPr>
          <w:rFonts w:ascii="仿宋" w:hAnsi="仿宋" w:eastAsia="仿宋" w:cs="Times New Roman"/>
          <w:b/>
          <w:bCs/>
          <w:sz w:val="24"/>
        </w:rPr>
      </w:pPr>
      <w:r>
        <w:rPr>
          <w:rFonts w:ascii="仿宋" w:hAnsi="仿宋" w:eastAsia="仿宋" w:cs="Times New Roman"/>
          <w:b/>
          <w:bCs/>
          <w:sz w:val="24"/>
        </w:rPr>
        <w:t>执行</w:t>
      </w:r>
      <w:r>
        <w:rPr>
          <w:rFonts w:hint="eastAsia" w:ascii="仿宋" w:hAnsi="仿宋" w:eastAsia="仿宋" w:cs="Times New Roman"/>
          <w:b/>
          <w:bCs/>
          <w:sz w:val="24"/>
        </w:rPr>
        <w:t>委员</w:t>
      </w:r>
      <w:r>
        <w:rPr>
          <w:rFonts w:ascii="仿宋" w:hAnsi="仿宋" w:eastAsia="仿宋" w:cs="Times New Roman"/>
          <w:b/>
          <w:bCs/>
          <w:sz w:val="24"/>
        </w:rPr>
        <w:t>：</w:t>
      </w:r>
    </w:p>
    <w:tbl>
      <w:tblPr>
        <w:tblStyle w:val="14"/>
        <w:tblW w:w="0" w:type="auto"/>
        <w:tblInd w:w="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6527"/>
      </w:tblGrid>
      <w:tr w14:paraId="778B6FBA">
        <w:tblPrEx>
          <w:tblLayout w:type="fixed"/>
        </w:tblPrEx>
        <w:tc>
          <w:tcPr>
            <w:tcW w:w="1387" w:type="dxa"/>
          </w:tcPr>
          <w:p w14:paraId="525D7D92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关大博</w:t>
            </w:r>
          </w:p>
          <w:p w14:paraId="258D5D51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张 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</w:rPr>
              <w:t>艺</w:t>
            </w:r>
          </w:p>
        </w:tc>
        <w:tc>
          <w:tcPr>
            <w:tcW w:w="6527" w:type="dxa"/>
          </w:tcPr>
          <w:p w14:paraId="52FDFD9E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清华大学碳中和研究院副院长、</w:t>
            </w:r>
            <w:r>
              <w:rPr>
                <w:rFonts w:hint="eastAsia" w:ascii="仿宋" w:hAnsi="仿宋" w:eastAsia="仿宋" w:cs="Times New Roman"/>
                <w:sz w:val="24"/>
              </w:rPr>
              <w:t>地球系统科学系教</w:t>
            </w:r>
            <w:r>
              <w:rPr>
                <w:rFonts w:ascii="仿宋" w:hAnsi="仿宋" w:eastAsia="仿宋" w:cs="Times New Roman"/>
                <w:sz w:val="24"/>
              </w:rPr>
              <w:t>授</w:t>
            </w:r>
          </w:p>
          <w:p w14:paraId="2A6C7888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清华大学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国际交流中心副主任  </w:t>
            </w:r>
          </w:p>
        </w:tc>
      </w:tr>
    </w:tbl>
    <w:p w14:paraId="3EAFD4CF">
      <w:pPr>
        <w:spacing w:line="540" w:lineRule="exact"/>
        <w:ind w:firstLine="482" w:firstLineChars="200"/>
        <w:jc w:val="left"/>
        <w:rPr>
          <w:rFonts w:ascii="仿宋" w:hAnsi="仿宋" w:eastAsia="仿宋" w:cs="Times New Roman"/>
          <w:b/>
          <w:bCs/>
          <w:sz w:val="24"/>
        </w:rPr>
      </w:pPr>
      <w:r>
        <w:rPr>
          <w:rFonts w:hint="eastAsia" w:ascii="仿宋" w:hAnsi="仿宋" w:eastAsia="仿宋" w:cs="Times New Roman"/>
          <w:b/>
          <w:bCs/>
          <w:sz w:val="24"/>
        </w:rPr>
        <w:t>监察委员</w:t>
      </w:r>
      <w:r>
        <w:rPr>
          <w:rFonts w:ascii="仿宋" w:hAnsi="仿宋" w:eastAsia="仿宋" w:cs="Times New Roman"/>
          <w:b/>
          <w:bCs/>
          <w:sz w:val="24"/>
        </w:rPr>
        <w:t>：</w:t>
      </w:r>
    </w:p>
    <w:tbl>
      <w:tblPr>
        <w:tblStyle w:val="14"/>
        <w:tblW w:w="0" w:type="auto"/>
        <w:tblInd w:w="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6526"/>
      </w:tblGrid>
      <w:tr w14:paraId="28D43928">
        <w:tblPrEx>
          <w:tblLayout w:type="fixed"/>
        </w:tblPrEx>
        <w:tc>
          <w:tcPr>
            <w:tcW w:w="1388" w:type="dxa"/>
          </w:tcPr>
          <w:p w14:paraId="027F8230">
            <w:pPr>
              <w:spacing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黄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</w:rPr>
              <w:t xml:space="preserve"> 峰</w:t>
            </w:r>
          </w:p>
        </w:tc>
        <w:tc>
          <w:tcPr>
            <w:tcW w:w="6526" w:type="dxa"/>
          </w:tcPr>
          <w:p w14:paraId="387A33AA">
            <w:pPr>
              <w:widowControl/>
              <w:spacing w:line="54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清华大学</w:t>
            </w:r>
            <w:r>
              <w:rPr>
                <w:rFonts w:ascii="仿宋" w:hAnsi="仿宋" w:eastAsia="仿宋" w:cs="Times New Roman"/>
                <w:color w:val="333333"/>
                <w:sz w:val="24"/>
                <w:shd w:val="clear" w:color="auto" w:fill="FFFFFF"/>
              </w:rPr>
              <w:t>团委副书记</w:t>
            </w:r>
          </w:p>
        </w:tc>
      </w:tr>
    </w:tbl>
    <w:p w14:paraId="7CFC90FE">
      <w:pPr>
        <w:spacing w:before="156" w:beforeLines="50" w:after="156" w:afterLines="50" w:line="540" w:lineRule="exact"/>
        <w:ind w:firstLine="562" w:firstLineChars="200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三、</w:t>
      </w:r>
      <w:r>
        <w:rPr>
          <w:rFonts w:ascii="黑体" w:hAnsi="黑体" w:eastAsia="黑体" w:cs="Times New Roman"/>
          <w:b/>
          <w:bCs/>
          <w:sz w:val="28"/>
          <w:szCs w:val="28"/>
        </w:rPr>
        <w:t>赛事划分</w:t>
      </w:r>
    </w:p>
    <w:p w14:paraId="4E78D4EB">
      <w:pPr>
        <w:spacing w:line="540" w:lineRule="exact"/>
        <w:ind w:firstLine="420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>“碳元奖”评选赛事将划分为</w:t>
      </w:r>
      <w:r>
        <w:rPr>
          <w:rFonts w:hint="eastAsia" w:ascii="仿宋" w:hAnsi="仿宋" w:eastAsia="仿宋" w:cs="Times New Roman"/>
          <w:sz w:val="24"/>
          <w:lang w:val="en-US" w:eastAsia="zh-CN"/>
        </w:rPr>
        <w:t>四</w:t>
      </w:r>
      <w:r>
        <w:rPr>
          <w:rFonts w:ascii="仿宋" w:hAnsi="仿宋" w:eastAsia="仿宋" w:cs="Times New Roman"/>
          <w:sz w:val="24"/>
        </w:rPr>
        <w:t>个赛道：基础科研赛道、产业创新赛道、政策研究</w:t>
      </w:r>
      <w:r>
        <w:rPr>
          <w:rFonts w:hint="eastAsia" w:ascii="仿宋" w:hAnsi="仿宋" w:eastAsia="仿宋" w:cs="Times New Roman"/>
          <w:sz w:val="24"/>
          <w:lang w:eastAsia="zh-CN"/>
        </w:rPr>
        <w:t>、“</w:t>
      </w:r>
      <w:r>
        <w:rPr>
          <w:rFonts w:hint="eastAsia" w:ascii="仿宋" w:hAnsi="仿宋" w:eastAsia="仿宋" w:cs="Times New Roman"/>
          <w:sz w:val="24"/>
          <w:lang w:val="en-US" w:eastAsia="zh-CN"/>
        </w:rPr>
        <w:t>人工智能+”</w:t>
      </w:r>
      <w:r>
        <w:rPr>
          <w:rFonts w:ascii="仿宋" w:hAnsi="仿宋" w:eastAsia="仿宋" w:cs="Times New Roman"/>
          <w:sz w:val="24"/>
        </w:rPr>
        <w:t>赛道。报名参赛项目提交报名表时需选定项目所属具体赛道。各赛道具体内容如下：</w:t>
      </w:r>
    </w:p>
    <w:p w14:paraId="12AE4AC6">
      <w:pPr>
        <w:spacing w:line="540" w:lineRule="exact"/>
        <w:ind w:firstLine="420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>（1）基础科研赛道：聚焦碳中和领域基础科学问题、原理突破、技术创新研究等，突出原创性、前沿性和学术贡献。</w:t>
      </w:r>
    </w:p>
    <w:p w14:paraId="4692C5D1">
      <w:pPr>
        <w:spacing w:line="540" w:lineRule="exact"/>
        <w:ind w:firstLine="420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>（2）产业创新赛道：聚焦碳中和领域创新技术、产品、服务的工程化、产业化路径探索，突出可落地性、经济可行性。</w:t>
      </w:r>
    </w:p>
    <w:p w14:paraId="7D527F80">
      <w:pPr>
        <w:spacing w:line="540" w:lineRule="exact"/>
        <w:ind w:firstLine="420"/>
        <w:rPr>
          <w:rFonts w:hint="eastAsia"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>（3）政策研究赛道：聚焦</w:t>
      </w:r>
      <w:r>
        <w:rPr>
          <w:rFonts w:hint="eastAsia" w:ascii="仿宋" w:hAnsi="仿宋" w:eastAsia="仿宋" w:cs="Times New Roman"/>
          <w:sz w:val="24"/>
        </w:rPr>
        <w:t>全球</w:t>
      </w:r>
      <w:r>
        <w:rPr>
          <w:rFonts w:ascii="仿宋" w:hAnsi="仿宋" w:eastAsia="仿宋" w:cs="Times New Roman"/>
          <w:sz w:val="24"/>
        </w:rPr>
        <w:t>碳中和相关政策、机制</w:t>
      </w:r>
      <w:r>
        <w:rPr>
          <w:rFonts w:hint="eastAsia" w:ascii="仿宋" w:hAnsi="仿宋" w:eastAsia="仿宋" w:cs="Times New Roman"/>
          <w:sz w:val="24"/>
        </w:rPr>
        <w:t>社会影响力、</w:t>
      </w:r>
      <w:r>
        <w:rPr>
          <w:rFonts w:ascii="仿宋" w:hAnsi="仿宋" w:eastAsia="仿宋" w:cs="Times New Roman"/>
          <w:sz w:val="24"/>
        </w:rPr>
        <w:t>制度设计创新，突出前瞻性、可操作性和</w:t>
      </w:r>
      <w:r>
        <w:rPr>
          <w:rFonts w:hint="eastAsia" w:ascii="仿宋" w:hAnsi="仿宋" w:eastAsia="仿宋" w:cs="Times New Roman"/>
          <w:sz w:val="24"/>
        </w:rPr>
        <w:t>普适性。</w:t>
      </w:r>
    </w:p>
    <w:p w14:paraId="54DB711C">
      <w:pPr>
        <w:spacing w:line="540" w:lineRule="exact"/>
        <w:ind w:firstLine="420"/>
        <w:rPr>
          <w:rFonts w:hint="default" w:ascii="仿宋" w:hAnsi="仿宋" w:eastAsia="仿宋" w:cs="Times New Roman"/>
          <w:sz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  <w:lang w:eastAsia="zh-CN"/>
        </w:rPr>
        <w:t>（</w:t>
      </w:r>
      <w:r>
        <w:rPr>
          <w:rFonts w:hint="eastAsia" w:ascii="仿宋" w:hAnsi="仿宋" w:eastAsia="仿宋" w:cs="Times New Roman"/>
          <w:sz w:val="24"/>
          <w:lang w:val="en-US" w:eastAsia="zh-CN"/>
        </w:rPr>
        <w:t>4）“</w:t>
      </w:r>
      <w:r>
        <w:rPr>
          <w:rFonts w:hint="default" w:ascii="仿宋" w:hAnsi="仿宋" w:eastAsia="仿宋" w:cs="Times New Roman"/>
          <w:sz w:val="24"/>
          <w:lang w:val="en-US" w:eastAsia="zh-CN"/>
        </w:rPr>
        <w:t>人工智能+</w:t>
      </w:r>
      <w:r>
        <w:rPr>
          <w:rFonts w:hint="eastAsia" w:ascii="仿宋" w:hAnsi="仿宋" w:eastAsia="仿宋" w:cs="Times New Roman"/>
          <w:sz w:val="24"/>
          <w:lang w:val="en-US" w:eastAsia="zh-CN"/>
        </w:rPr>
        <w:t>”赛道：</w:t>
      </w:r>
      <w:r>
        <w:rPr>
          <w:rFonts w:hint="eastAsia"/>
        </w:rPr>
        <w:t>聚焦人工智能、机器学习、具身智能、大数据等技术在新型电力系统、可再生能源预测、能源调度与交易、AI 技术与能源装备、储能优化、绿色算力功能、空天能源系统、能效管理等能源关键环节的创新研发与应用，突出人工智能深度赋能能源领域。</w:t>
      </w:r>
      <w:bookmarkStart w:id="0" w:name="_GoBack"/>
      <w:bookmarkEnd w:id="0"/>
    </w:p>
    <w:p w14:paraId="28E8A5E9">
      <w:pPr>
        <w:spacing w:before="156" w:beforeLines="50" w:after="156" w:afterLines="50" w:line="540" w:lineRule="exact"/>
        <w:ind w:firstLine="562" w:firstLineChars="200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四、</w:t>
      </w:r>
      <w:r>
        <w:rPr>
          <w:rFonts w:ascii="黑体" w:hAnsi="黑体" w:eastAsia="黑体" w:cs="Times New Roman"/>
          <w:b/>
          <w:bCs/>
          <w:sz w:val="28"/>
          <w:szCs w:val="28"/>
        </w:rPr>
        <w:t>赛事奖励</w:t>
      </w:r>
    </w:p>
    <w:p w14:paraId="2868DB5C">
      <w:pPr>
        <w:spacing w:line="540" w:lineRule="exact"/>
        <w:ind w:firstLine="482" w:firstLineChars="200"/>
        <w:rPr>
          <w:rFonts w:ascii="仿宋" w:hAnsi="仿宋" w:eastAsia="仿宋" w:cs="Times New Roman"/>
          <w:b/>
          <w:bCs/>
          <w:sz w:val="24"/>
        </w:rPr>
      </w:pPr>
      <w:r>
        <w:rPr>
          <w:rFonts w:ascii="仿宋" w:hAnsi="仿宋" w:eastAsia="仿宋" w:cs="Times New Roman"/>
          <w:b/>
          <w:bCs/>
          <w:sz w:val="24"/>
        </w:rPr>
        <w:t>1</w:t>
      </w:r>
      <w:r>
        <w:rPr>
          <w:rFonts w:hint="eastAsia" w:ascii="仿宋" w:hAnsi="仿宋" w:eastAsia="仿宋" w:cs="Times New Roman"/>
          <w:b/>
          <w:bCs/>
          <w:sz w:val="24"/>
        </w:rPr>
        <w:t>.</w:t>
      </w:r>
      <w:r>
        <w:rPr>
          <w:rFonts w:ascii="仿宋" w:hAnsi="仿宋" w:eastAsia="仿宋" w:cs="Times New Roman"/>
          <w:b/>
          <w:bCs/>
          <w:sz w:val="24"/>
        </w:rPr>
        <w:t xml:space="preserve"> 赛事奖金</w:t>
      </w:r>
    </w:p>
    <w:tbl>
      <w:tblPr>
        <w:tblStyle w:val="16"/>
        <w:tblW w:w="4998" w:type="pct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473"/>
        <w:gridCol w:w="2181"/>
        <w:gridCol w:w="2001"/>
        <w:gridCol w:w="1864"/>
      </w:tblGrid>
      <w:tr w14:paraId="1BC3BB21">
        <w:tblPrEx>
          <w:tblLayout w:type="fixed"/>
        </w:tblPrEx>
        <w:trPr>
          <w:tblHeader/>
        </w:trPr>
        <w:tc>
          <w:tcPr>
            <w:tcW w:w="247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3A0FE96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赛道类别</w:t>
            </w:r>
          </w:p>
        </w:tc>
        <w:tc>
          <w:tcPr>
            <w:tcW w:w="218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49BF836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奖项名称</w:t>
            </w:r>
          </w:p>
        </w:tc>
        <w:tc>
          <w:tcPr>
            <w:tcW w:w="20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56192E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单项奖金</w:t>
            </w:r>
          </w:p>
        </w:tc>
        <w:tc>
          <w:tcPr>
            <w:tcW w:w="18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D79086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数量</w:t>
            </w:r>
          </w:p>
        </w:tc>
      </w:tr>
      <w:tr w14:paraId="3A5B923F">
        <w:tblPrEx>
          <w:tblLayout w:type="fixed"/>
        </w:tblPrEx>
        <w:tc>
          <w:tcPr>
            <w:tcW w:w="2473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FC462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基础科研赛道</w:t>
            </w:r>
          </w:p>
        </w:tc>
        <w:tc>
          <w:tcPr>
            <w:tcW w:w="21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85360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碳元先锋奖</w:t>
            </w:r>
          </w:p>
        </w:tc>
        <w:tc>
          <w:tcPr>
            <w:tcW w:w="20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A5E96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6万元</w:t>
            </w:r>
          </w:p>
        </w:tc>
        <w:tc>
          <w:tcPr>
            <w:tcW w:w="18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1025A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5项</w:t>
            </w:r>
          </w:p>
        </w:tc>
      </w:tr>
      <w:tr w14:paraId="1D35B40D">
        <w:tblPrEx>
          <w:tblLayout w:type="fixed"/>
        </w:tblPrEx>
        <w:tc>
          <w:tcPr>
            <w:tcW w:w="24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15FE3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3EAF7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碳元新星奖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E42CB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2万元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D7413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1</w:t>
            </w:r>
            <w:r>
              <w:rPr>
                <w:rFonts w:hint="eastAsia" w:ascii="仿宋" w:hAnsi="仿宋" w:eastAsia="仿宋" w:cs="Times New Roman"/>
                <w:sz w:val="24"/>
              </w:rPr>
              <w:t>0</w:t>
            </w:r>
            <w:r>
              <w:rPr>
                <w:rFonts w:ascii="仿宋" w:hAnsi="仿宋" w:eastAsia="仿宋" w:cs="Times New Roman"/>
                <w:sz w:val="24"/>
              </w:rPr>
              <w:t>项</w:t>
            </w:r>
          </w:p>
        </w:tc>
      </w:tr>
      <w:tr w14:paraId="088F2F2C">
        <w:tblPrEx>
          <w:tblLayout w:type="fixed"/>
        </w:tblPrEx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ADC66">
            <w:pPr>
              <w:pStyle w:val="15"/>
              <w:spacing w:before="0" w:after="0" w:line="540" w:lineRule="exact"/>
              <w:rPr>
                <w:rFonts w:hint="default" w:ascii="仿宋" w:hAnsi="仿宋" w:eastAsia="仿宋" w:cs="Times New Roman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“人工智能+”赛道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09EA0">
            <w:pPr>
              <w:pStyle w:val="15"/>
              <w:spacing w:before="0" w:after="0" w:line="540" w:lineRule="exact"/>
              <w:rPr>
                <w:rFonts w:hint="default" w:ascii="仿宋" w:hAnsi="仿宋" w:eastAsia="仿宋" w:cs="Times New Roman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碳元景行奖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4859D">
            <w:pPr>
              <w:pStyle w:val="15"/>
              <w:spacing w:before="0" w:after="0" w:line="540" w:lineRule="exact"/>
              <w:rPr>
                <w:rFonts w:hint="default" w:ascii="仿宋" w:hAnsi="仿宋" w:eastAsia="仿宋" w:cs="Times New Roman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6万元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5F30B">
            <w:pPr>
              <w:pStyle w:val="15"/>
              <w:spacing w:before="0" w:after="0" w:line="540" w:lineRule="exact"/>
              <w:rPr>
                <w:rFonts w:hint="default" w:ascii="仿宋" w:hAnsi="仿宋" w:eastAsia="仿宋" w:cs="Times New Roman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5项</w:t>
            </w:r>
          </w:p>
        </w:tc>
      </w:tr>
      <w:tr w14:paraId="5C833340">
        <w:tblPrEx>
          <w:tblLayout w:type="fixed"/>
        </w:tblPrEx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30090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产业创新赛道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402FC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碳元致远奖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7C917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5万元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2C5C6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sz w:val="24"/>
              </w:rPr>
              <w:t>项</w:t>
            </w:r>
          </w:p>
        </w:tc>
      </w:tr>
      <w:tr w14:paraId="248681EE">
        <w:tblPrEx>
          <w:tblLayout w:type="fixed"/>
        </w:tblPrEx>
        <w:tc>
          <w:tcPr>
            <w:tcW w:w="24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168E17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政策研究赛道</w:t>
            </w:r>
          </w:p>
        </w:tc>
        <w:tc>
          <w:tcPr>
            <w:tcW w:w="21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E52DF38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碳元经纬奖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ADD4E18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5万元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09E109C">
            <w:pPr>
              <w:pStyle w:val="15"/>
              <w:spacing w:before="0" w:after="0" w:line="540" w:lineRule="exac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1项</w:t>
            </w:r>
          </w:p>
        </w:tc>
      </w:tr>
    </w:tbl>
    <w:p w14:paraId="4E7C0DE3">
      <w:pPr>
        <w:spacing w:line="540" w:lineRule="exact"/>
        <w:ind w:firstLine="482" w:firstLineChars="200"/>
        <w:rPr>
          <w:rFonts w:ascii="仿宋" w:hAnsi="仿宋" w:eastAsia="仿宋" w:cs="Times New Roman"/>
          <w:b/>
          <w:bCs/>
          <w:sz w:val="24"/>
        </w:rPr>
      </w:pPr>
      <w:r>
        <w:rPr>
          <w:rFonts w:hint="eastAsia" w:ascii="仿宋" w:hAnsi="仿宋" w:eastAsia="仿宋" w:cs="Times New Roman"/>
          <w:b/>
          <w:bCs/>
          <w:sz w:val="24"/>
        </w:rPr>
        <w:t>2</w:t>
      </w:r>
      <w:r>
        <w:rPr>
          <w:rFonts w:ascii="仿宋" w:hAnsi="仿宋" w:eastAsia="仿宋" w:cs="Times New Roman"/>
          <w:b/>
          <w:bCs/>
          <w:sz w:val="24"/>
        </w:rPr>
        <w:t>. 发展支撑</w:t>
      </w:r>
    </w:p>
    <w:p w14:paraId="0DDAA92C">
      <w:pPr>
        <w:spacing w:line="540" w:lineRule="exact"/>
        <w:ind w:firstLine="480" w:firstLineChars="200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/>
          <w:sz w:val="24"/>
          <w:szCs w:val="32"/>
        </w:rPr>
        <w:t>“碳元奖”致力于为参赛者搭建长期发展平台，融入碳中和领域创新社群，持续助力其拓展视野、提升能力，在科研、产业和政策等领域不断取得进步。</w:t>
      </w:r>
    </w:p>
    <w:p w14:paraId="5837785C">
      <w:pPr>
        <w:spacing w:before="156" w:beforeLines="50" w:after="156" w:afterLines="50" w:line="540" w:lineRule="exact"/>
        <w:ind w:firstLine="562" w:firstLineChars="200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五、</w:t>
      </w:r>
      <w:r>
        <w:rPr>
          <w:rFonts w:ascii="黑体" w:hAnsi="黑体" w:eastAsia="黑体" w:cs="Times New Roman"/>
          <w:b/>
          <w:bCs/>
          <w:sz w:val="28"/>
          <w:szCs w:val="28"/>
        </w:rPr>
        <w:t>评选流程</w:t>
      </w:r>
    </w:p>
    <w:p w14:paraId="2559EF15">
      <w:pPr>
        <w:spacing w:line="540" w:lineRule="exact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ab/>
      </w:r>
      <w:r>
        <w:rPr>
          <w:rFonts w:hint="eastAsia" w:ascii="仿宋" w:hAnsi="仿宋" w:eastAsia="仿宋" w:cs="Times New Roman"/>
          <w:sz w:val="24"/>
        </w:rPr>
        <w:t>“碳元奖”一般每年评选一次，</w:t>
      </w:r>
      <w:r>
        <w:rPr>
          <w:rFonts w:ascii="仿宋" w:hAnsi="仿宋" w:eastAsia="仿宋" w:cs="Times New Roman"/>
          <w:sz w:val="24"/>
        </w:rPr>
        <w:t>评选过程严格遵循“自主报名-</w:t>
      </w:r>
      <w:r>
        <w:rPr>
          <w:rFonts w:hint="eastAsia" w:ascii="仿宋" w:hAnsi="仿宋" w:eastAsia="仿宋" w:cs="Times New Roman"/>
          <w:sz w:val="24"/>
        </w:rPr>
        <w:t>专家初评-</w:t>
      </w:r>
      <w:r>
        <w:rPr>
          <w:rFonts w:ascii="仿宋" w:hAnsi="仿宋" w:eastAsia="仿宋" w:cs="Times New Roman"/>
          <w:sz w:val="24"/>
        </w:rPr>
        <w:t>候选人答辩-</w:t>
      </w:r>
      <w:r>
        <w:rPr>
          <w:rFonts w:hint="eastAsia" w:ascii="仿宋" w:hAnsi="仿宋" w:eastAsia="仿宋" w:cs="Times New Roman"/>
          <w:sz w:val="24"/>
        </w:rPr>
        <w:t>碳中和院院</w:t>
      </w:r>
      <w:r>
        <w:rPr>
          <w:rFonts w:ascii="仿宋" w:hAnsi="仿宋" w:eastAsia="仿宋" w:cs="Times New Roman"/>
          <w:sz w:val="24"/>
        </w:rPr>
        <w:t>务会议审议”流程</w:t>
      </w:r>
      <w:r>
        <w:rPr>
          <w:rFonts w:hint="eastAsia" w:ascii="仿宋" w:hAnsi="仿宋" w:eastAsia="仿宋" w:cs="Times New Roman"/>
          <w:sz w:val="24"/>
        </w:rPr>
        <w:t>。评选</w:t>
      </w:r>
      <w:r>
        <w:rPr>
          <w:rFonts w:ascii="仿宋" w:hAnsi="仿宋" w:eastAsia="仿宋" w:cs="Times New Roman"/>
          <w:sz w:val="24"/>
        </w:rPr>
        <w:t>具体时间以当年清华大学碳中和研究院官网公告为准</w:t>
      </w:r>
      <w:r>
        <w:rPr>
          <w:rFonts w:hint="eastAsia" w:ascii="仿宋" w:hAnsi="仿宋" w:eastAsia="仿宋" w:cs="Times New Roman"/>
          <w:sz w:val="24"/>
        </w:rPr>
        <w:t>。</w:t>
      </w:r>
    </w:p>
    <w:p w14:paraId="080A8928">
      <w:pPr>
        <w:spacing w:before="156" w:beforeLines="50" w:after="156" w:afterLines="50" w:line="540" w:lineRule="exact"/>
        <w:ind w:firstLine="562" w:firstLineChars="200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六、</w:t>
      </w:r>
      <w:r>
        <w:rPr>
          <w:rFonts w:ascii="黑体" w:hAnsi="黑体" w:eastAsia="黑体" w:cs="Times New Roman"/>
          <w:b/>
          <w:bCs/>
          <w:sz w:val="28"/>
          <w:szCs w:val="28"/>
        </w:rPr>
        <w:t>评审标准</w:t>
      </w:r>
    </w:p>
    <w:p w14:paraId="3DB08E45">
      <w:pPr>
        <w:spacing w:line="540" w:lineRule="exact"/>
        <w:ind w:firstLine="480" w:firstLineChars="200"/>
        <w:rPr>
          <w:rFonts w:hint="eastAsia" w:ascii="仿宋" w:hAnsi="仿宋" w:eastAsia="仿宋" w:cs="Times New Roman"/>
          <w:sz w:val="24"/>
          <w:lang w:eastAsia="zh-CN"/>
        </w:rPr>
      </w:pPr>
      <w:r>
        <w:rPr>
          <w:rFonts w:ascii="仿宋" w:hAnsi="仿宋" w:eastAsia="仿宋" w:cs="Times New Roman"/>
          <w:sz w:val="24"/>
        </w:rPr>
        <w:t>“碳元奖”评选坚持公平、公正、公开原则，</w:t>
      </w:r>
      <w:r>
        <w:rPr>
          <w:rFonts w:hint="eastAsia" w:ascii="仿宋" w:hAnsi="仿宋" w:eastAsia="仿宋"/>
          <w:sz w:val="24"/>
          <w:szCs w:val="32"/>
        </w:rPr>
        <w:t>重点</w:t>
      </w:r>
      <w:r>
        <w:rPr>
          <w:rFonts w:ascii="仿宋" w:hAnsi="仿宋" w:eastAsia="仿宋"/>
          <w:sz w:val="24"/>
          <w:szCs w:val="32"/>
        </w:rPr>
        <w:t>考察申报人的个人原创性贡献和主导作用</w:t>
      </w:r>
      <w:r>
        <w:rPr>
          <w:rFonts w:hint="eastAsia" w:ascii="仿宋" w:hAnsi="仿宋" w:eastAsia="仿宋"/>
          <w:sz w:val="24"/>
          <w:szCs w:val="32"/>
        </w:rPr>
        <w:t>，</w:t>
      </w:r>
      <w:r>
        <w:rPr>
          <w:rFonts w:hint="eastAsia" w:ascii="仿宋" w:hAnsi="仿宋" w:eastAsia="仿宋" w:cs="Times New Roman"/>
          <w:sz w:val="24"/>
        </w:rPr>
        <w:t>围绕</w:t>
      </w:r>
      <w:r>
        <w:rPr>
          <w:rFonts w:ascii="仿宋" w:hAnsi="仿宋" w:eastAsia="仿宋" w:cs="Times New Roman"/>
          <w:sz w:val="24"/>
        </w:rPr>
        <w:t>项目的创新性、可行性、交叉性、影响力</w:t>
      </w:r>
      <w:r>
        <w:rPr>
          <w:rFonts w:hint="eastAsia" w:ascii="仿宋" w:hAnsi="仿宋" w:eastAsia="仿宋" w:cs="Times New Roman"/>
          <w:sz w:val="24"/>
        </w:rPr>
        <w:t>、</w:t>
      </w:r>
      <w:r>
        <w:rPr>
          <w:rFonts w:ascii="仿宋" w:hAnsi="仿宋" w:eastAsia="仿宋" w:cs="Times New Roman"/>
          <w:sz w:val="24"/>
        </w:rPr>
        <w:t>表达</w:t>
      </w:r>
      <w:r>
        <w:rPr>
          <w:rFonts w:hint="eastAsia" w:ascii="仿宋" w:hAnsi="仿宋" w:eastAsia="仿宋" w:cs="Times New Roman"/>
          <w:sz w:val="24"/>
        </w:rPr>
        <w:t>与</w:t>
      </w:r>
      <w:r>
        <w:rPr>
          <w:rFonts w:ascii="仿宋" w:hAnsi="仿宋" w:eastAsia="仿宋" w:cs="Times New Roman"/>
          <w:sz w:val="24"/>
        </w:rPr>
        <w:t>展示五个维度进行综合评审</w:t>
      </w:r>
      <w:r>
        <w:rPr>
          <w:rFonts w:ascii="仿宋" w:hAnsi="仿宋" w:eastAsia="仿宋"/>
          <w:sz w:val="24"/>
          <w:szCs w:val="32"/>
        </w:rPr>
        <w:t>。</w:t>
      </w:r>
      <w:r>
        <w:rPr>
          <w:rFonts w:hint="eastAsia" w:ascii="仿宋" w:hAnsi="仿宋" w:eastAsia="仿宋"/>
          <w:sz w:val="24"/>
          <w:szCs w:val="32"/>
        </w:rPr>
        <w:t>鼓励原创性贡献或产业化成果在Technology Review for Carbon Neutrality期刊发表</w:t>
      </w:r>
      <w:r>
        <w:rPr>
          <w:rFonts w:hint="eastAsia" w:ascii="仿宋" w:hAnsi="仿宋" w:eastAsia="仿宋"/>
          <w:sz w:val="24"/>
          <w:szCs w:val="32"/>
          <w:lang w:eastAsia="zh-CN"/>
        </w:rPr>
        <w:t>。</w:t>
      </w:r>
    </w:p>
    <w:p w14:paraId="7460DC64">
      <w:pPr>
        <w:spacing w:before="156" w:beforeLines="50" w:after="156" w:afterLines="50" w:line="540" w:lineRule="exact"/>
        <w:ind w:firstLine="562" w:firstLineChars="200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七、</w:t>
      </w:r>
      <w:r>
        <w:rPr>
          <w:rFonts w:ascii="黑体" w:hAnsi="黑体" w:eastAsia="黑体" w:cs="Times New Roman"/>
          <w:b/>
          <w:bCs/>
          <w:sz w:val="28"/>
          <w:szCs w:val="28"/>
        </w:rPr>
        <w:t>申报要求</w:t>
      </w:r>
    </w:p>
    <w:p w14:paraId="20C94A9F">
      <w:pPr>
        <w:spacing w:line="540" w:lineRule="exact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ab/>
      </w:r>
      <w:r>
        <w:rPr>
          <w:rFonts w:ascii="仿宋" w:hAnsi="仿宋" w:eastAsia="仿宋" w:cs="Times New Roman"/>
          <w:sz w:val="24"/>
        </w:rPr>
        <w:t>（1）申报对象为清华大学全日制研究生和</w:t>
      </w:r>
      <w:r>
        <w:rPr>
          <w:rFonts w:hint="eastAsia" w:ascii="仿宋" w:hAnsi="仿宋" w:eastAsia="仿宋" w:cs="Times New Roman"/>
          <w:sz w:val="24"/>
        </w:rPr>
        <w:t>全日制在站博</w:t>
      </w:r>
      <w:r>
        <w:rPr>
          <w:rFonts w:ascii="仿宋" w:hAnsi="仿宋" w:eastAsia="仿宋" w:cs="Times New Roman"/>
          <w:sz w:val="24"/>
        </w:rPr>
        <w:t>士后</w:t>
      </w:r>
      <w:r>
        <w:rPr>
          <w:rFonts w:hint="eastAsia" w:ascii="仿宋" w:hAnsi="仿宋" w:eastAsia="仿宋" w:cs="Times New Roman"/>
          <w:sz w:val="24"/>
        </w:rPr>
        <w:t>。</w:t>
      </w:r>
    </w:p>
    <w:p w14:paraId="6E05AC43">
      <w:pPr>
        <w:spacing w:line="540" w:lineRule="exact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ab/>
      </w:r>
      <w:r>
        <w:rPr>
          <w:rFonts w:hint="eastAsia" w:ascii="仿宋" w:hAnsi="仿宋" w:eastAsia="仿宋" w:cs="Times New Roman"/>
          <w:sz w:val="24"/>
        </w:rPr>
        <w:t>（2）项目须</w:t>
      </w:r>
      <w:r>
        <w:rPr>
          <w:rFonts w:ascii="仿宋" w:hAnsi="仿宋" w:eastAsia="仿宋" w:cs="Times New Roman"/>
          <w:sz w:val="24"/>
        </w:rPr>
        <w:t>以个人名义参评</w:t>
      </w:r>
      <w:r>
        <w:rPr>
          <w:rFonts w:hint="eastAsia" w:ascii="仿宋" w:hAnsi="仿宋" w:eastAsia="仿宋" w:cs="Times New Roman"/>
          <w:sz w:val="24"/>
        </w:rPr>
        <w:t>，</w:t>
      </w:r>
      <w:r>
        <w:rPr>
          <w:rFonts w:hint="eastAsia" w:ascii="仿宋" w:hAnsi="仿宋" w:eastAsia="仿宋"/>
          <w:sz w:val="24"/>
          <w:szCs w:val="32"/>
        </w:rPr>
        <w:t>申报人应为项目的第一完成人，个人贡献不得低于50%，并能够清晰说明其主导性贡献。项目可为团队合作成果，其他成员可在材料中列示说明，奖项仅授予申报人个人。</w:t>
      </w:r>
    </w:p>
    <w:p w14:paraId="3D719AC9">
      <w:pPr>
        <w:spacing w:line="540" w:lineRule="exact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ab/>
      </w:r>
      <w:r>
        <w:rPr>
          <w:rFonts w:ascii="仿宋" w:hAnsi="仿宋" w:eastAsia="仿宋" w:cs="Times New Roman"/>
          <w:sz w:val="24"/>
        </w:rPr>
        <w:t>（</w:t>
      </w:r>
      <w:r>
        <w:rPr>
          <w:rFonts w:hint="eastAsia" w:ascii="仿宋" w:hAnsi="仿宋" w:eastAsia="仿宋" w:cs="Times New Roman"/>
          <w:sz w:val="24"/>
        </w:rPr>
        <w:t>3</w:t>
      </w:r>
      <w:r>
        <w:rPr>
          <w:rFonts w:ascii="仿宋" w:hAnsi="仿宋" w:eastAsia="仿宋" w:cs="Times New Roman"/>
          <w:sz w:val="24"/>
        </w:rPr>
        <w:t>）申报项目须经导师同意</w:t>
      </w:r>
      <w:r>
        <w:rPr>
          <w:rFonts w:hint="eastAsia" w:ascii="仿宋" w:hAnsi="仿宋" w:eastAsia="仿宋" w:cs="Times New Roman"/>
          <w:sz w:val="24"/>
        </w:rPr>
        <w:t>，并随附导师同意函</w:t>
      </w:r>
      <w:r>
        <w:rPr>
          <w:rFonts w:ascii="仿宋" w:hAnsi="仿宋" w:eastAsia="仿宋" w:cs="Times New Roman"/>
          <w:sz w:val="24"/>
        </w:rPr>
        <w:t>。</w:t>
      </w:r>
    </w:p>
    <w:p w14:paraId="594C7813">
      <w:pPr>
        <w:spacing w:line="540" w:lineRule="exact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ab/>
      </w:r>
      <w:r>
        <w:rPr>
          <w:rFonts w:ascii="仿宋" w:hAnsi="仿宋" w:eastAsia="仿宋" w:cs="Times New Roman"/>
          <w:sz w:val="24"/>
        </w:rPr>
        <w:t>（</w:t>
      </w:r>
      <w:r>
        <w:rPr>
          <w:rFonts w:hint="eastAsia" w:ascii="仿宋" w:hAnsi="仿宋" w:eastAsia="仿宋" w:cs="Times New Roman"/>
          <w:sz w:val="24"/>
        </w:rPr>
        <w:t>4</w:t>
      </w:r>
      <w:r>
        <w:rPr>
          <w:rFonts w:ascii="仿宋" w:hAnsi="仿宋" w:eastAsia="仿宋" w:cs="Times New Roman"/>
          <w:sz w:val="24"/>
        </w:rPr>
        <w:t>）每</w:t>
      </w:r>
      <w:r>
        <w:rPr>
          <w:rFonts w:hint="eastAsia" w:ascii="仿宋" w:hAnsi="仿宋" w:eastAsia="仿宋" w:cs="Times New Roman"/>
          <w:sz w:val="24"/>
        </w:rPr>
        <w:t>人限</w:t>
      </w:r>
      <w:r>
        <w:rPr>
          <w:rFonts w:ascii="仿宋" w:hAnsi="仿宋" w:eastAsia="仿宋" w:cs="Times New Roman"/>
          <w:sz w:val="24"/>
        </w:rPr>
        <w:t>申报1个项目，不得跨赛道重复申报。</w:t>
      </w:r>
    </w:p>
    <w:p w14:paraId="07CB6148">
      <w:pPr>
        <w:spacing w:line="540" w:lineRule="exact"/>
        <w:ind w:left="420" w:leftChars="200" w:firstLine="0" w:firstLineChars="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（5）申报项目须为申报人的原创成果，若已获得其他同类型科创竞赛奖项，应说明相较以往成果的创新点、联系及本人新增贡献。</w:t>
      </w:r>
    </w:p>
    <w:p w14:paraId="619815A9">
      <w:pPr>
        <w:spacing w:line="540" w:lineRule="exact"/>
        <w:ind w:left="475" w:leftChars="226" w:firstLine="0" w:firstLineChars="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（6）申报人已获得清华大学特等奖学金、学术新秀奖或往届碳元奖等同类荣誉奖励的，不得以同一成果再次申报本奖项；如申报新成果，须明确说明与已获奖成果相比的新增创新点和个人贡献。</w:t>
      </w:r>
    </w:p>
    <w:p w14:paraId="6CF3A364">
      <w:pPr>
        <w:spacing w:line="540" w:lineRule="exact"/>
        <w:ind w:left="420" w:leftChars="200" w:firstLine="0" w:firstLineChars="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（7）申报项目不得侵犯他人知识产权，所有材料真实、准确、可核查。</w:t>
      </w:r>
    </w:p>
    <w:p w14:paraId="263DC2E1">
      <w:pPr>
        <w:spacing w:line="540" w:lineRule="exact"/>
        <w:rPr>
          <w:rFonts w:hint="eastAsia" w:ascii="仿宋" w:hAnsi="仿宋" w:eastAsia="仿宋" w:cs="Times New Roman"/>
          <w:sz w:val="24"/>
        </w:rPr>
      </w:pPr>
    </w:p>
    <w:p w14:paraId="4D92E668">
      <w:pPr>
        <w:spacing w:line="540" w:lineRule="exact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八、赛事监督</w:t>
      </w:r>
    </w:p>
    <w:p w14:paraId="6D62A43C">
      <w:pPr>
        <w:spacing w:line="540" w:lineRule="exact"/>
        <w:ind w:firstLine="420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为保障评选工作的严肃性、公正性和透明度，特设立“碳元奖”监督委员会，具体内容如下：</w:t>
      </w:r>
    </w:p>
    <w:p w14:paraId="77D62675">
      <w:pPr>
        <w:spacing w:line="540" w:lineRule="exact"/>
        <w:ind w:firstLine="566" w:firstLineChars="236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1</w:t>
      </w:r>
      <w:r>
        <w:rPr>
          <w:rFonts w:ascii="仿宋" w:hAnsi="仿宋" w:eastAsia="仿宋" w:cs="Times New Roman"/>
          <w:sz w:val="24"/>
        </w:rPr>
        <w:t xml:space="preserve">. </w:t>
      </w:r>
      <w:r>
        <w:rPr>
          <w:rFonts w:hint="eastAsia" w:ascii="仿宋" w:hAnsi="仿宋" w:eastAsia="仿宋" w:cs="Times New Roman"/>
          <w:sz w:val="24"/>
        </w:rPr>
        <w:t>监督委员会设置：“碳元奖”监督委员会由主办、承办单位代表及校内相关职能部门共同组成，负责对申报、评审、公示等环节进行全程监督，受理相关申诉和举报。监督委员会独立于执行委员会和评奖委员会开展工作。</w:t>
      </w:r>
    </w:p>
    <w:p w14:paraId="2E85584C">
      <w:pPr>
        <w:spacing w:line="540" w:lineRule="exact"/>
        <w:ind w:firstLine="566" w:firstLineChars="236"/>
        <w:rPr>
          <w:rFonts w:ascii="仿宋" w:hAnsi="仿宋" w:eastAsia="仿宋" w:cs="Times New Roman"/>
          <w:sz w:val="24"/>
        </w:rPr>
      </w:pPr>
      <w:r>
        <w:rPr>
          <w:rFonts w:ascii="仿宋" w:hAnsi="仿宋" w:eastAsia="仿宋" w:cs="Times New Roman"/>
          <w:sz w:val="24"/>
        </w:rPr>
        <w:t xml:space="preserve">2. </w:t>
      </w:r>
      <w:r>
        <w:rPr>
          <w:rFonts w:hint="eastAsia" w:ascii="仿宋" w:hAnsi="仿宋" w:eastAsia="仿宋" w:cs="Times New Roman"/>
          <w:sz w:val="24"/>
        </w:rPr>
        <w:t>申诉与举报受理：监督委员会在评选期间设立专门的申诉与举报渠道并予以公布。任何个人或单位如对参评项目或评选程序存有异议，可在规定期限内向监督委员会进行实名书面举报。监督委员会将对举报内容进行核实与处理，并对举报人信息予以保密。</w:t>
      </w:r>
    </w:p>
    <w:p w14:paraId="3932F755">
      <w:pPr>
        <w:spacing w:line="540" w:lineRule="exact"/>
        <w:ind w:firstLine="566" w:firstLineChars="236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3.</w:t>
      </w:r>
      <w:r>
        <w:rPr>
          <w:rFonts w:ascii="仿宋" w:hAnsi="仿宋" w:eastAsia="仿宋" w:cs="Times New Roman"/>
          <w:sz w:val="24"/>
        </w:rPr>
        <w:t xml:space="preserve"> </w:t>
      </w:r>
      <w:r>
        <w:rPr>
          <w:rFonts w:hint="eastAsia" w:ascii="仿宋" w:hAnsi="仿宋" w:eastAsia="仿宋" w:cs="Times New Roman"/>
          <w:sz w:val="24"/>
        </w:rPr>
        <w:t>调查与处理：监督委员会在接到申诉或举报后，将启动调查程序，对所反映的情况进行核实，根据情节严重性，对相关个人或项目进行相应处理，并通报相关单位。</w:t>
      </w:r>
    </w:p>
    <w:p w14:paraId="05783EDD">
      <w:pPr>
        <w:spacing w:line="540" w:lineRule="exact"/>
        <w:ind w:firstLine="566" w:firstLineChars="236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4.</w:t>
      </w:r>
      <w:r>
        <w:rPr>
          <w:rFonts w:ascii="仿宋" w:hAnsi="仿宋" w:eastAsia="仿宋" w:cs="Times New Roman"/>
          <w:sz w:val="24"/>
        </w:rPr>
        <w:t xml:space="preserve"> </w:t>
      </w:r>
      <w:r>
        <w:rPr>
          <w:rFonts w:hint="eastAsia" w:ascii="仿宋" w:hAnsi="仿宋" w:eastAsia="仿宋" w:cs="Times New Roman"/>
          <w:sz w:val="24"/>
        </w:rPr>
        <w:t>权益落实监督：监督委员会在评选结束后，将对奖金发放以及后续支持环节的落实情况与流程进行监督，切实保障获奖者的应得权益。</w:t>
      </w:r>
    </w:p>
    <w:p w14:paraId="37B360BE">
      <w:pPr>
        <w:spacing w:before="156" w:beforeLines="50" w:after="156" w:afterLines="50" w:line="540" w:lineRule="exact"/>
        <w:ind w:firstLine="562" w:firstLineChars="200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</w:rPr>
        <w:t>九、附则</w:t>
      </w:r>
    </w:p>
    <w:p w14:paraId="6F747218">
      <w:pPr>
        <w:spacing w:line="540" w:lineRule="exact"/>
        <w:ind w:firstLine="420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本办法从公布之日起生效，由清华大学碳中和研究院负责解释。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微软雅黑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2"/>
    <w:qFormat/>
    <w:uiPriority w:val="0"/>
    <w:rPr>
      <w:b/>
      <w:bCs/>
    </w:rPr>
  </w:style>
  <w:style w:type="paragraph" w:styleId="3">
    <w:name w:val="annotation text"/>
    <w:basedOn w:val="1"/>
    <w:link w:val="21"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before="180" w:after="180"/>
    </w:pPr>
  </w:style>
  <w:style w:type="paragraph" w:styleId="5">
    <w:name w:val="footer"/>
    <w:basedOn w:val="1"/>
    <w:link w:val="2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9"/>
    <w:uiPriority w:val="0"/>
    <w:rPr>
      <w:rFonts w:ascii="Courier New" w:hAnsi="Courier New" w:cs="Courier New"/>
      <w:sz w:val="20"/>
      <w:szCs w:val="20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table" w:styleId="14">
    <w:name w:val="Table Grid"/>
    <w:basedOn w:val="1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Compact"/>
    <w:basedOn w:val="4"/>
    <w:qFormat/>
    <w:uiPriority w:val="0"/>
    <w:pPr>
      <w:spacing w:before="36" w:after="36"/>
    </w:pPr>
  </w:style>
  <w:style w:type="table" w:customStyle="1" w:styleId="16">
    <w:name w:val="Table"/>
    <w:unhideWhenUsed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17">
    <w:name w:val="First Paragraph"/>
    <w:basedOn w:val="4"/>
    <w:next w:val="4"/>
    <w:qFormat/>
    <w:uiPriority w:val="0"/>
  </w:style>
  <w:style w:type="paragraph" w:customStyle="1" w:styleId="18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9">
    <w:name w:val="HTML 预设格式 字符"/>
    <w:basedOn w:val="9"/>
    <w:link w:val="7"/>
    <w:uiPriority w:val="0"/>
    <w:rPr>
      <w:rFonts w:ascii="Courier New" w:hAnsi="Courier New" w:cs="Courier New" w:eastAsiaTheme="minorEastAsia"/>
      <w:kern w:val="2"/>
    </w:rPr>
  </w:style>
  <w:style w:type="paragraph" w:customStyle="1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文字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2">
    <w:name w:val="批注主题 字符"/>
    <w:basedOn w:val="21"/>
    <w:link w:val="2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3">
    <w:name w:val="Unresolved Mention"/>
    <w:basedOn w:val="9"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2169</Words>
  <Characters>2178</Characters>
  <Lines>16</Lines>
  <Paragraphs>4</Paragraphs>
  <TotalTime>0</TotalTime>
  <ScaleCrop>false</ScaleCrop>
  <LinksUpToDate>false</LinksUpToDate>
  <CharactersWithSpaces>2201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fireflysnow</dc:creator>
  <cp:lastModifiedBy>iPhone</cp:lastModifiedBy>
  <dcterms:modified xsi:type="dcterms:W3CDTF">2026-08-19T14:55:29Z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FBB95EC54C3DD68AAB29726AF446FA52_43</vt:lpwstr>
  </property>
  <property fmtid="{D5CDD505-2E9C-101B-9397-08002B2CF9AE}" pid="4" name="KSOTemplateDocerSaveRecord">
    <vt:lpwstr>eyJoZGlkIjoiNzMxMTk1YWY3ZTA2NjBjM2VlM2ZhOTU5NGJjNGI4MDAiLCJ1c2VySWQiOiI2OTYyMDM4ODIifQ==</vt:lpwstr>
  </property>
</Properties>
</file>